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661" w:rsidRPr="00D44661" w:rsidRDefault="009A760C" w:rsidP="00D44661">
      <w:pPr>
        <w:pStyle w:val="Heading2"/>
        <w:rPr>
          <w:sz w:val="32"/>
          <w:szCs w:val="32"/>
        </w:rPr>
      </w:pPr>
      <w:r>
        <w:rPr>
          <w:sz w:val="32"/>
          <w:szCs w:val="32"/>
        </w:rPr>
        <w:t xml:space="preserve">Guidance for </w:t>
      </w:r>
      <w:r w:rsidR="00D44661" w:rsidRPr="00D44661">
        <w:rPr>
          <w:sz w:val="32"/>
          <w:szCs w:val="32"/>
        </w:rPr>
        <w:t>Boards</w:t>
      </w:r>
    </w:p>
    <w:p w:rsidR="00D44661" w:rsidRPr="00D44661" w:rsidRDefault="00D44661" w:rsidP="00D44661">
      <w:pPr>
        <w:rPr>
          <w:rFonts w:cs="Arial"/>
          <w:b/>
          <w:sz w:val="24"/>
          <w:szCs w:val="24"/>
        </w:rPr>
      </w:pPr>
      <w:r w:rsidRPr="00D44661">
        <w:rPr>
          <w:rFonts w:cs="Arial"/>
          <w:b/>
          <w:sz w:val="24"/>
          <w:szCs w:val="24"/>
        </w:rPr>
        <w:t>Overview of boards</w:t>
      </w:r>
    </w:p>
    <w:p w:rsidR="00D44661" w:rsidRDefault="00D44661" w:rsidP="00D44661">
      <w:pPr>
        <w:rPr>
          <w:rFonts w:cs="Arial"/>
        </w:rPr>
      </w:pPr>
      <w:r w:rsidRPr="00C456E1">
        <w:rPr>
          <w:rFonts w:cs="Arial"/>
        </w:rPr>
        <w:t xml:space="preserve">Government bodies may be established by or under an Act of the Northern Territory of Australia </w:t>
      </w:r>
      <w:r w:rsidRPr="00881CEB">
        <w:rPr>
          <w:rFonts w:cs="Arial"/>
          <w:b/>
        </w:rPr>
        <w:t>(a statutory body)</w:t>
      </w:r>
      <w:r w:rsidRPr="00C456E1">
        <w:rPr>
          <w:rFonts w:cs="Arial"/>
        </w:rPr>
        <w:t xml:space="preserve"> or by a decision of Cabinet or an individual Minister </w:t>
      </w:r>
      <w:r w:rsidRPr="00881CEB">
        <w:rPr>
          <w:rFonts w:cs="Arial"/>
          <w:b/>
        </w:rPr>
        <w:t>(a non-statutory body)</w:t>
      </w:r>
      <w:r w:rsidRPr="00C456E1">
        <w:rPr>
          <w:rFonts w:cs="Arial"/>
        </w:rPr>
        <w:t xml:space="preserve">. </w:t>
      </w:r>
      <w:r>
        <w:rPr>
          <w:rFonts w:cs="Arial"/>
        </w:rPr>
        <w:t>For statutory and non-statutory bodies, a minister and the Administrator of the Northern Territory (the Administrator) appoints members on the board.</w:t>
      </w:r>
    </w:p>
    <w:p w:rsidR="00D44661" w:rsidRDefault="00D44661" w:rsidP="00D44661">
      <w:pPr>
        <w:rPr>
          <w:rFonts w:cs="Arial"/>
        </w:rPr>
      </w:pPr>
      <w:r>
        <w:rPr>
          <w:rFonts w:cs="Arial"/>
        </w:rPr>
        <w:t xml:space="preserve"> Government boards can be categorised into one of the following categories:</w:t>
      </w:r>
    </w:p>
    <w:p w:rsidR="00D44661" w:rsidRPr="00C456E1" w:rsidRDefault="00D44661" w:rsidP="00D44661">
      <w:pPr>
        <w:pStyle w:val="ListBullet"/>
        <w:numPr>
          <w:ilvl w:val="0"/>
          <w:numId w:val="17"/>
        </w:numPr>
        <w:ind w:left="1134" w:hanging="567"/>
        <w:rPr>
          <w:rFonts w:cs="Arial"/>
        </w:rPr>
      </w:pPr>
      <w:r w:rsidRPr="00C456E1">
        <w:rPr>
          <w:rFonts w:cs="Arial"/>
        </w:rPr>
        <w:t>governing and management bodies</w:t>
      </w:r>
    </w:p>
    <w:p w:rsidR="00D44661" w:rsidRPr="00C456E1" w:rsidRDefault="00D44661" w:rsidP="00D44661">
      <w:pPr>
        <w:pStyle w:val="ListBullet"/>
        <w:numPr>
          <w:ilvl w:val="0"/>
          <w:numId w:val="17"/>
        </w:numPr>
        <w:ind w:left="1134" w:hanging="567"/>
        <w:rPr>
          <w:rFonts w:cs="Arial"/>
        </w:rPr>
      </w:pPr>
      <w:r w:rsidRPr="00C456E1">
        <w:rPr>
          <w:rFonts w:cs="Arial"/>
        </w:rPr>
        <w:t>quasi-judicial bodies</w:t>
      </w:r>
    </w:p>
    <w:p w:rsidR="00D44661" w:rsidRPr="00C456E1" w:rsidRDefault="00D44661" w:rsidP="00D44661">
      <w:pPr>
        <w:pStyle w:val="ListBullet"/>
        <w:numPr>
          <w:ilvl w:val="0"/>
          <w:numId w:val="17"/>
        </w:numPr>
        <w:ind w:left="1134" w:hanging="567"/>
        <w:rPr>
          <w:rFonts w:cs="Arial"/>
        </w:rPr>
      </w:pPr>
      <w:proofErr w:type="gramStart"/>
      <w:r w:rsidRPr="00C456E1">
        <w:rPr>
          <w:rFonts w:cs="Arial"/>
        </w:rPr>
        <w:t>advisory</w:t>
      </w:r>
      <w:proofErr w:type="gramEnd"/>
      <w:r w:rsidRPr="00C456E1">
        <w:rPr>
          <w:rFonts w:cs="Arial"/>
        </w:rPr>
        <w:t xml:space="preserve"> and review bodies.</w:t>
      </w:r>
    </w:p>
    <w:p w:rsidR="00D44661" w:rsidRPr="00C456E1" w:rsidRDefault="00D44661" w:rsidP="00D44661">
      <w:pPr>
        <w:rPr>
          <w:rFonts w:cs="Arial"/>
        </w:rPr>
      </w:pPr>
      <w:r w:rsidRPr="00C456E1">
        <w:rPr>
          <w:rFonts w:cs="Arial"/>
          <w:b/>
        </w:rPr>
        <w:t>Governing and management boards</w:t>
      </w:r>
      <w:r w:rsidRPr="00C456E1">
        <w:rPr>
          <w:rFonts w:cs="Arial"/>
        </w:rPr>
        <w:t xml:space="preserve"> guide and direct the organisation for which they are responsible and/or manage specific facilities or assets. They may be required to set performance goals, ensure corporate compliance and management accountability, and/or endorse strategic plans and approve operating budgets.</w:t>
      </w:r>
      <w:r>
        <w:rPr>
          <w:rFonts w:cs="Arial"/>
        </w:rPr>
        <w:t xml:space="preserve"> Examples of these include Aboriginal Areas Protection Authority, Superannuation Trustee Board, and Darwin Waterfront Corporation Board. Governing and management boards may be assessed as key management personnel where they are charged with authority for strategic decision-making and have the ability to influence the financial performance of the reporting entity.</w:t>
      </w:r>
    </w:p>
    <w:p w:rsidR="00D44661" w:rsidRPr="00C456E1" w:rsidRDefault="00D44661" w:rsidP="00D44661">
      <w:pPr>
        <w:rPr>
          <w:rFonts w:cs="Arial"/>
        </w:rPr>
      </w:pPr>
      <w:r w:rsidRPr="00C456E1">
        <w:rPr>
          <w:rFonts w:cs="Arial"/>
          <w:b/>
        </w:rPr>
        <w:t>Quasi-judicial boards</w:t>
      </w:r>
      <w:r w:rsidRPr="00C456E1">
        <w:rPr>
          <w:rFonts w:cs="Arial"/>
        </w:rPr>
        <w:t xml:space="preserve"> determine standards, monitor and regulate practice, grant licences, investigate complaints, review decisions and/or make judgements.</w:t>
      </w:r>
      <w:r>
        <w:rPr>
          <w:rFonts w:cs="Arial"/>
        </w:rPr>
        <w:t xml:space="preserve"> Examples of these include Building Appeals Board, Development Consent Authority, and the Mental Health Review Tribunal. These boards will generally not have authority for strategic decision-making and influencing the financial performance of the reporting entity and as such they may not be classified as key management personnel. However, agencies are required to assess this on a case-by-case basis to determine whether they will be designated as KMP. </w:t>
      </w:r>
    </w:p>
    <w:p w:rsidR="00D44661" w:rsidRDefault="00D44661" w:rsidP="00D44661">
      <w:pPr>
        <w:rPr>
          <w:rFonts w:cs="Arial"/>
        </w:rPr>
      </w:pPr>
      <w:r w:rsidRPr="00C456E1">
        <w:rPr>
          <w:rFonts w:cs="Arial"/>
          <w:b/>
        </w:rPr>
        <w:t>Advisory and review boards</w:t>
      </w:r>
      <w:r w:rsidRPr="00C456E1">
        <w:rPr>
          <w:rFonts w:cs="Arial"/>
        </w:rPr>
        <w:t xml:space="preserve"> generally advise and make recommendations to Government on policies, plans and practices or issues referred to the board for comment.</w:t>
      </w:r>
      <w:r>
        <w:rPr>
          <w:rFonts w:cs="Arial"/>
        </w:rPr>
        <w:t xml:space="preserve"> Examples include Planning Commission, Procurement review board, Water Resources Review Panel and Youth Justice Advisory Committee. These boards will generally not have authority for strategic decision-making and influencing the financial performance of the reporting entity and as such they may not be classified as key management personnel. However, agencies are required to assess this on a case-by-case basis to determine whether they will be designated as KMP.</w:t>
      </w:r>
    </w:p>
    <w:p w:rsidR="00D44661" w:rsidRPr="00D44661" w:rsidRDefault="00D44661" w:rsidP="00D44661">
      <w:pPr>
        <w:pStyle w:val="Heading2"/>
        <w:rPr>
          <w:sz w:val="32"/>
          <w:szCs w:val="32"/>
        </w:rPr>
      </w:pPr>
      <w:r w:rsidRPr="00D44661">
        <w:rPr>
          <w:sz w:val="32"/>
          <w:szCs w:val="32"/>
        </w:rPr>
        <w:t>Statutory boards</w:t>
      </w:r>
    </w:p>
    <w:p w:rsidR="00D44661" w:rsidRDefault="00D44661" w:rsidP="00D44661">
      <w:pPr>
        <w:spacing w:after="0"/>
        <w:rPr>
          <w:rFonts w:cs="Arial"/>
        </w:rPr>
      </w:pPr>
      <w:r>
        <w:rPr>
          <w:rFonts w:cs="Arial"/>
        </w:rPr>
        <w:t>The general functions and responsibilities or powers of a statutory body or board are set out in the enabling legislation (</w:t>
      </w:r>
      <w:r w:rsidRPr="00C456E1">
        <w:rPr>
          <w:rFonts w:cs="Arial"/>
        </w:rPr>
        <w:t>the Act of Parliament which establishes the entity</w:t>
      </w:r>
      <w:r>
        <w:rPr>
          <w:rFonts w:cs="Arial"/>
        </w:rPr>
        <w:t>). The functions and responsibilities to a large extent will assist agencies in determining whether a statutory board is given strategic decision-making responsibility or have influence on the financial performance of the body or agency and as such be designated as a KMP. Generally, if a statutory body prepares separate general purpose financial statements, then the board may be deemed as KMP for that reporting entity and as such will not be recorded in the administering agency’s annual financial reports. Again, a key test is whether the board or individual members have authority to influence strategic decision making and financial performance of the reporting entity as a whole.</w:t>
      </w:r>
    </w:p>
    <w:p w:rsidR="00D44661" w:rsidRDefault="00D44661" w:rsidP="00D44661">
      <w:pPr>
        <w:spacing w:after="0"/>
        <w:rPr>
          <w:rFonts w:cs="Arial"/>
        </w:rPr>
      </w:pPr>
    </w:p>
    <w:p w:rsidR="00D44661" w:rsidRDefault="00D44661" w:rsidP="00D44661">
      <w:pPr>
        <w:rPr>
          <w:rFonts w:cs="Arial"/>
        </w:rPr>
      </w:pPr>
      <w:r>
        <w:rPr>
          <w:rFonts w:cs="Arial"/>
        </w:rPr>
        <w:lastRenderedPageBreak/>
        <w:t>Generally, when a board has been assessed as meeting the KMP criteria, all members with voting rights will be captured as a KMP and will be required to fill out a declaration form. Silent members are unlikely to be designated as KMP.</w:t>
      </w:r>
    </w:p>
    <w:p w:rsidR="00D44661" w:rsidRPr="00D44661" w:rsidRDefault="00D44661" w:rsidP="00D44661">
      <w:pPr>
        <w:pStyle w:val="Heading2"/>
        <w:rPr>
          <w:sz w:val="32"/>
          <w:szCs w:val="32"/>
        </w:rPr>
      </w:pPr>
      <w:r w:rsidRPr="00D44661">
        <w:rPr>
          <w:sz w:val="32"/>
          <w:szCs w:val="32"/>
        </w:rPr>
        <w:t>Non-statutory boards</w:t>
      </w:r>
    </w:p>
    <w:p w:rsidR="00D44661" w:rsidRDefault="00D44661" w:rsidP="00D44661">
      <w:pPr>
        <w:rPr>
          <w:rFonts w:cs="Arial"/>
        </w:rPr>
      </w:pPr>
      <w:r>
        <w:rPr>
          <w:rFonts w:cs="Arial"/>
        </w:rPr>
        <w:t xml:space="preserve">The functions and general responsibilities or powers of a non-statutory board is set out by the terms of reference set by Government. The functions and responsibilities set out in the terms of reference to a large extent will assist agencies in determining whether </w:t>
      </w:r>
      <w:r w:rsidR="00C40DE7">
        <w:rPr>
          <w:rFonts w:cs="Arial"/>
        </w:rPr>
        <w:t>a non</w:t>
      </w:r>
      <w:r>
        <w:rPr>
          <w:rFonts w:cs="Arial"/>
        </w:rPr>
        <w:t>- statutory board is given strategic decision-making responsibility or has influence on the financial performance of the</w:t>
      </w:r>
      <w:r w:rsidR="00C40DE7">
        <w:rPr>
          <w:rFonts w:cs="Arial"/>
        </w:rPr>
        <w:t xml:space="preserve"> reporting entity </w:t>
      </w:r>
      <w:r>
        <w:rPr>
          <w:rFonts w:cs="Arial"/>
        </w:rPr>
        <w:t xml:space="preserve">as a whole and as such be designated as a KMP. </w:t>
      </w:r>
      <w:r w:rsidR="00C40DE7">
        <w:rPr>
          <w:rFonts w:cs="Arial"/>
        </w:rPr>
        <w:t xml:space="preserve">Agencies are to assess whether these boards meet </w:t>
      </w:r>
      <w:r w:rsidR="002A42B1">
        <w:rPr>
          <w:rFonts w:cs="Arial"/>
        </w:rPr>
        <w:t>the criteria</w:t>
      </w:r>
      <w:r w:rsidR="00C40DE7">
        <w:rPr>
          <w:rFonts w:cs="Arial"/>
        </w:rPr>
        <w:t xml:space="preserve"> to be designated as KMP as per flow chart provided below.</w:t>
      </w:r>
    </w:p>
    <w:p w:rsidR="00D44661" w:rsidRPr="00D44661" w:rsidRDefault="00D44661" w:rsidP="00D44661">
      <w:pPr>
        <w:pStyle w:val="Heading2"/>
        <w:rPr>
          <w:sz w:val="32"/>
          <w:szCs w:val="32"/>
        </w:rPr>
      </w:pPr>
      <w:r w:rsidRPr="00D44661">
        <w:rPr>
          <w:sz w:val="32"/>
          <w:szCs w:val="32"/>
        </w:rPr>
        <w:t xml:space="preserve">Disclosures in Financial Statements </w:t>
      </w:r>
    </w:p>
    <w:p w:rsidR="00CB2B17" w:rsidRDefault="005E433F" w:rsidP="00D44661">
      <w:pPr>
        <w:rPr>
          <w:rFonts w:cs="Arial"/>
        </w:rPr>
      </w:pPr>
      <w:r>
        <w:rPr>
          <w:rFonts w:cs="Arial"/>
        </w:rPr>
        <w:t xml:space="preserve">Board members are generally renumerated with sitting </w:t>
      </w:r>
      <w:r w:rsidR="00CB2B17">
        <w:rPr>
          <w:rFonts w:cs="Arial"/>
        </w:rPr>
        <w:t>fees. Sitting</w:t>
      </w:r>
      <w:r w:rsidR="00D44661">
        <w:rPr>
          <w:rFonts w:cs="Arial"/>
        </w:rPr>
        <w:t xml:space="preserve"> fees are generally recorded as operational</w:t>
      </w:r>
      <w:r w:rsidR="00AD39D2">
        <w:rPr>
          <w:rFonts w:cs="Arial"/>
        </w:rPr>
        <w:t xml:space="preserve"> expenses within an agency’s</w:t>
      </w:r>
      <w:r w:rsidR="00D44661">
        <w:rPr>
          <w:rFonts w:cs="Arial"/>
        </w:rPr>
        <w:t xml:space="preserve"> ledger.</w:t>
      </w:r>
      <w:r w:rsidR="00CB2B17">
        <w:rPr>
          <w:rFonts w:cs="Arial"/>
        </w:rPr>
        <w:t xml:space="preserve"> </w:t>
      </w:r>
      <w:r w:rsidR="00AD39D2">
        <w:rPr>
          <w:rFonts w:cs="Arial"/>
        </w:rPr>
        <w:t>A summary of how remuneration and related party transactions of boards will be disclosed in the notes to the financial statements is provided below.</w:t>
      </w:r>
    </w:p>
    <w:p w:rsidR="00D44661" w:rsidRDefault="00D44661" w:rsidP="00D44661">
      <w:pPr>
        <w:rPr>
          <w:rFonts w:cs="Arial"/>
          <w:b/>
        </w:rPr>
      </w:pPr>
      <w:r w:rsidRPr="00570F13">
        <w:rPr>
          <w:rFonts w:cs="Arial"/>
          <w:b/>
        </w:rPr>
        <w:t>Remuneration</w:t>
      </w:r>
    </w:p>
    <w:p w:rsidR="0084460F" w:rsidRDefault="0084460F" w:rsidP="00D44661">
      <w:pPr>
        <w:rPr>
          <w:rFonts w:cs="Arial"/>
        </w:rPr>
      </w:pPr>
      <w:r>
        <w:rPr>
          <w:rFonts w:cs="Arial"/>
        </w:rPr>
        <w:t>Remuneration of boards, including sitting fee</w:t>
      </w:r>
      <w:r w:rsidR="00E05157">
        <w:rPr>
          <w:rFonts w:cs="Arial"/>
        </w:rPr>
        <w:t>s</w:t>
      </w:r>
      <w:r w:rsidR="005848DF">
        <w:rPr>
          <w:rFonts w:cs="Arial"/>
        </w:rPr>
        <w:t xml:space="preserve"> </w:t>
      </w:r>
      <w:r w:rsidR="00E05157">
        <w:rPr>
          <w:rFonts w:cs="Arial"/>
        </w:rPr>
        <w:t xml:space="preserve">expense should </w:t>
      </w:r>
      <w:r>
        <w:rPr>
          <w:rFonts w:cs="Arial"/>
        </w:rPr>
        <w:t>be recorded as short-term employee benefit in the related party disclosure note</w:t>
      </w:r>
      <w:r w:rsidR="00E05157">
        <w:rPr>
          <w:rFonts w:cs="Arial"/>
        </w:rPr>
        <w:t xml:space="preserve"> on an aggregated basis.</w:t>
      </w:r>
      <w:r w:rsidR="005848DF">
        <w:rPr>
          <w:rFonts w:cs="Arial"/>
        </w:rPr>
        <w:t xml:space="preserve">  Employer superannuation contribution expenses should be captured as a post-employment benefit similar to how it is accounted for with other KMP.</w:t>
      </w:r>
      <w:r w:rsidR="00E05157">
        <w:rPr>
          <w:rFonts w:cs="Arial"/>
        </w:rPr>
        <w:t xml:space="preserve">  Where a board member</w:t>
      </w:r>
      <w:r>
        <w:rPr>
          <w:rFonts w:cs="Arial"/>
        </w:rPr>
        <w:t xml:space="preserve"> receive</w:t>
      </w:r>
      <w:r w:rsidR="00E05157">
        <w:rPr>
          <w:rFonts w:cs="Arial"/>
        </w:rPr>
        <w:t>s</w:t>
      </w:r>
      <w:r>
        <w:rPr>
          <w:rFonts w:cs="Arial"/>
        </w:rPr>
        <w:t xml:space="preserve"> other entitlements similar to those of</w:t>
      </w:r>
      <w:r w:rsidR="00E05157">
        <w:rPr>
          <w:rFonts w:cs="Arial"/>
        </w:rPr>
        <w:t xml:space="preserve"> an</w:t>
      </w:r>
      <w:r>
        <w:rPr>
          <w:rFonts w:cs="Arial"/>
        </w:rPr>
        <w:t xml:space="preserve"> </w:t>
      </w:r>
      <w:r w:rsidR="00E05157">
        <w:rPr>
          <w:rFonts w:cs="Arial"/>
        </w:rPr>
        <w:t>employee, these benefits</w:t>
      </w:r>
      <w:r>
        <w:rPr>
          <w:rFonts w:cs="Arial"/>
        </w:rPr>
        <w:t xml:space="preserve"> should be accounted for in the appropriate</w:t>
      </w:r>
      <w:r w:rsidR="00E05157">
        <w:rPr>
          <w:rFonts w:cs="Arial"/>
        </w:rPr>
        <w:t xml:space="preserve"> employee benefit </w:t>
      </w:r>
      <w:r>
        <w:rPr>
          <w:rFonts w:cs="Arial"/>
        </w:rPr>
        <w:t>category provided in the Related Party Disclosure Guideline for Northern Territory Government Agencies.</w:t>
      </w:r>
    </w:p>
    <w:p w:rsidR="00D44661" w:rsidRPr="004611F7" w:rsidRDefault="00D44661" w:rsidP="00D44661">
      <w:pPr>
        <w:rPr>
          <w:rFonts w:cs="Arial"/>
          <w:b/>
        </w:rPr>
      </w:pPr>
      <w:r w:rsidRPr="004611F7">
        <w:rPr>
          <w:rFonts w:cs="Arial"/>
          <w:b/>
        </w:rPr>
        <w:t>Related Party Transactions</w:t>
      </w:r>
    </w:p>
    <w:p w:rsidR="00D44661" w:rsidRDefault="00D44661" w:rsidP="00D44661">
      <w:pPr>
        <w:rPr>
          <w:rFonts w:cs="Arial"/>
        </w:rPr>
      </w:pPr>
      <w:r>
        <w:rPr>
          <w:rFonts w:cs="Arial"/>
        </w:rPr>
        <w:t>Related party transactions will be disclosed on an aggregated basis, consistent with disclosures made for other key management personnel within the agency (refer to Related Party Disclosure Guidelines for Northern Territory Government Agencies for further guidance).</w:t>
      </w:r>
    </w:p>
    <w:p w:rsidR="00D44661" w:rsidRPr="00C456E1" w:rsidRDefault="00D44661" w:rsidP="00D44661">
      <w:pPr>
        <w:rPr>
          <w:rFonts w:cs="Arial"/>
        </w:rPr>
      </w:pPr>
    </w:p>
    <w:p w:rsidR="00EC5A8F" w:rsidRDefault="00D44661" w:rsidP="00EC5A8F">
      <w:pPr>
        <w:pStyle w:val="Heading2"/>
        <w:rPr>
          <w:sz w:val="32"/>
          <w:szCs w:val="32"/>
        </w:rPr>
      </w:pPr>
      <w:r w:rsidRPr="00D44661">
        <w:rPr>
          <w:sz w:val="32"/>
          <w:szCs w:val="32"/>
        </w:rPr>
        <w:t>Flow Chart</w:t>
      </w:r>
    </w:p>
    <w:p w:rsidR="00D44661" w:rsidRPr="00EC5A8F" w:rsidRDefault="00D44661" w:rsidP="00EC5A8F">
      <w:pPr>
        <w:pStyle w:val="Heading2"/>
        <w:rPr>
          <w:rFonts w:eastAsia="Calibri" w:cs="Arial"/>
          <w:b w:val="0"/>
          <w:bCs w:val="0"/>
          <w:iCs w:val="0"/>
          <w:color w:val="auto"/>
          <w:sz w:val="22"/>
          <w:szCs w:val="22"/>
        </w:rPr>
      </w:pPr>
      <w:r w:rsidRPr="00EC5A8F">
        <w:rPr>
          <w:rFonts w:eastAsia="Calibri" w:cs="Arial"/>
          <w:b w:val="0"/>
          <w:bCs w:val="0"/>
          <w:iCs w:val="0"/>
          <w:color w:val="auto"/>
          <w:sz w:val="22"/>
          <w:szCs w:val="22"/>
        </w:rPr>
        <w:t>This flow c</w:t>
      </w:r>
      <w:r w:rsidR="00F46A05">
        <w:rPr>
          <w:rFonts w:eastAsia="Calibri" w:cs="Arial"/>
          <w:b w:val="0"/>
          <w:bCs w:val="0"/>
          <w:iCs w:val="0"/>
          <w:color w:val="auto"/>
          <w:sz w:val="22"/>
          <w:szCs w:val="22"/>
        </w:rPr>
        <w:t>hart is to assist agencies in identifying if a board should</w:t>
      </w:r>
      <w:r w:rsidRPr="00EC5A8F">
        <w:rPr>
          <w:rFonts w:eastAsia="Calibri" w:cs="Arial"/>
          <w:b w:val="0"/>
          <w:bCs w:val="0"/>
          <w:iCs w:val="0"/>
          <w:color w:val="auto"/>
          <w:sz w:val="22"/>
          <w:szCs w:val="22"/>
        </w:rPr>
        <w:t xml:space="preserve"> </w:t>
      </w:r>
      <w:r w:rsidR="00EC5A8F" w:rsidRPr="00EC5A8F">
        <w:rPr>
          <w:rFonts w:eastAsia="Calibri" w:cs="Arial"/>
          <w:b w:val="0"/>
          <w:bCs w:val="0"/>
          <w:iCs w:val="0"/>
          <w:color w:val="auto"/>
          <w:sz w:val="22"/>
          <w:szCs w:val="22"/>
        </w:rPr>
        <w:t>be designated as KMP</w:t>
      </w:r>
      <w:r w:rsidRPr="00EC5A8F">
        <w:rPr>
          <w:rFonts w:eastAsia="Calibri" w:cs="Arial"/>
          <w:b w:val="0"/>
          <w:bCs w:val="0"/>
          <w:iCs w:val="0"/>
          <w:color w:val="auto"/>
          <w:sz w:val="22"/>
          <w:szCs w:val="22"/>
        </w:rPr>
        <w:t xml:space="preserve"> of the reporting entity as a whole. Where a board is designated as KMP, then all members with voting rights are required to complete the declaration form. </w:t>
      </w:r>
    </w:p>
    <w:p w:rsidR="00D44661" w:rsidRDefault="00D44661" w:rsidP="006C5353"/>
    <w:p w:rsidR="00D44661" w:rsidRDefault="00D44661" w:rsidP="006C5353"/>
    <w:p w:rsidR="00D44661" w:rsidRDefault="00D44661" w:rsidP="006C5353"/>
    <w:p w:rsidR="00D44661" w:rsidRDefault="00D44661" w:rsidP="006C5353"/>
    <w:p w:rsidR="005E433F" w:rsidRDefault="005E433F" w:rsidP="006C5353"/>
    <w:p w:rsidR="00D44661" w:rsidRDefault="00D44661" w:rsidP="006C5353"/>
    <w:p w:rsidR="00D44661" w:rsidRDefault="00D44661" w:rsidP="006C5353"/>
    <w:p w:rsidR="00D44661" w:rsidRDefault="00D44661" w:rsidP="006C5353"/>
    <w:p w:rsidR="006D2AF2" w:rsidRDefault="006D2AF2" w:rsidP="00D44661">
      <w:pPr>
        <w:pStyle w:val="Heading2"/>
        <w:rPr>
          <w:rFonts w:eastAsia="Calibri" w:cs="Times New Roman"/>
          <w:b w:val="0"/>
          <w:bCs w:val="0"/>
          <w:iCs w:val="0"/>
          <w:color w:val="auto"/>
          <w:sz w:val="22"/>
          <w:szCs w:val="22"/>
        </w:rPr>
      </w:pPr>
    </w:p>
    <w:p w:rsidR="00D44661" w:rsidRPr="00FA5D62" w:rsidRDefault="00EC5A8F" w:rsidP="00D44661">
      <w:pPr>
        <w:pStyle w:val="Heading2"/>
      </w:pPr>
      <w:r>
        <w:rPr>
          <w:noProof/>
          <w:lang w:eastAsia="en-AU"/>
        </w:rPr>
        <mc:AlternateContent>
          <mc:Choice Requires="wpg">
            <w:drawing>
              <wp:anchor distT="0" distB="0" distL="114300" distR="114300" simplePos="0" relativeHeight="251659264" behindDoc="0" locked="0" layoutInCell="1" allowOverlap="1" wp14:anchorId="47ECB3B9" wp14:editId="5EB7A8E1">
                <wp:simplePos x="0" y="0"/>
                <wp:positionH relativeFrom="margin">
                  <wp:posOffset>-91440</wp:posOffset>
                </wp:positionH>
                <wp:positionV relativeFrom="paragraph">
                  <wp:posOffset>298450</wp:posOffset>
                </wp:positionV>
                <wp:extent cx="6276974" cy="7781925"/>
                <wp:effectExtent l="0" t="0" r="10160" b="28575"/>
                <wp:wrapNone/>
                <wp:docPr id="5" name="Group 5" descr="Flow Chart - Identifying KMP of your Entity" title="Flow Chart - Identifying KMP of your Entity"/>
                <wp:cNvGraphicFramePr/>
                <a:graphic xmlns:a="http://schemas.openxmlformats.org/drawingml/2006/main">
                  <a:graphicData uri="http://schemas.microsoft.com/office/word/2010/wordprocessingGroup">
                    <wpg:wgp>
                      <wpg:cNvGrpSpPr/>
                      <wpg:grpSpPr>
                        <a:xfrm>
                          <a:off x="0" y="0"/>
                          <a:ext cx="6276974" cy="7781925"/>
                          <a:chOff x="-1" y="0"/>
                          <a:chExt cx="6655925" cy="6543675"/>
                        </a:xfrm>
                      </wpg:grpSpPr>
                      <wps:wsp>
                        <wps:cNvPr id="27" name="Flowchart: Process 27"/>
                        <wps:cNvSpPr/>
                        <wps:spPr>
                          <a:xfrm>
                            <a:off x="-1" y="9525"/>
                            <a:ext cx="2014636" cy="1298583"/>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rsidR="00D44661" w:rsidRDefault="00D44661" w:rsidP="00D44661">
                              <w:pPr>
                                <w:pStyle w:val="Default"/>
                              </w:pPr>
                              <w:r>
                                <w:t xml:space="preserve">Does the enabling legislation or the terms of reference give the board/committee authority or responsibility for planning, directing and controlling the activities of the entity? </w:t>
                              </w:r>
                            </w:p>
                            <w:p w:rsidR="006C5353" w:rsidRDefault="006C5353" w:rsidP="006C5353">
                              <w:pPr>
                                <w:pStyle w:val="Defaul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Flowchart: Process 2"/>
                        <wps:cNvSpPr/>
                        <wps:spPr>
                          <a:xfrm>
                            <a:off x="5571553" y="0"/>
                            <a:ext cx="1084371" cy="6381750"/>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rsidR="006C5353" w:rsidRDefault="00D44661" w:rsidP="006C5353">
                              <w:pPr>
                                <w:pStyle w:val="Default"/>
                              </w:pPr>
                              <w:r>
                                <w:t>The board or committee is</w:t>
                              </w:r>
                              <w:r w:rsidRPr="00E6095E">
                                <w:rPr>
                                  <w:rStyle w:val="Strong"/>
                                </w:rPr>
                                <w:t xml:space="preserve"> not</w:t>
                              </w:r>
                              <w:r>
                                <w:t xml:space="preserve"> considered KMP of the reporting entity and members do not need to complete a declaration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ight Arrow 3"/>
                        <wps:cNvSpPr/>
                        <wps:spPr>
                          <a:xfrm>
                            <a:off x="2078447" y="200024"/>
                            <a:ext cx="3400267" cy="59893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C5353" w:rsidRDefault="006C5353" w:rsidP="006C5353">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Flowchart: Process 4"/>
                        <wps:cNvSpPr/>
                        <wps:spPr>
                          <a:xfrm>
                            <a:off x="0" y="1962150"/>
                            <a:ext cx="1857374" cy="1017344"/>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rsidR="00D44661" w:rsidRDefault="00D44661" w:rsidP="00D44661">
                              <w:pPr>
                                <w:pStyle w:val="Default"/>
                              </w:pPr>
                              <w:r>
                                <w:t>Does the board or committees decision –making authority have impact on the reporting entity as a whole?</w:t>
                              </w:r>
                            </w:p>
                            <w:p w:rsidR="006C5353" w:rsidRDefault="006C5353" w:rsidP="006C5353">
                              <w:pPr>
                                <w:pStyle w:val="Defaul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lowchart: Process 7"/>
                        <wps:cNvSpPr/>
                        <wps:spPr>
                          <a:xfrm>
                            <a:off x="2733675" y="1943100"/>
                            <a:ext cx="1857375" cy="933450"/>
                          </a:xfrm>
                          <a:prstGeom prst="flowChartProcess">
                            <a:avLst/>
                          </a:prstGeom>
                          <a:ln/>
                        </wps:spPr>
                        <wps:style>
                          <a:lnRef idx="2">
                            <a:schemeClr val="accent6"/>
                          </a:lnRef>
                          <a:fillRef idx="1">
                            <a:schemeClr val="lt1"/>
                          </a:fillRef>
                          <a:effectRef idx="0">
                            <a:schemeClr val="accent6"/>
                          </a:effectRef>
                          <a:fontRef idx="minor">
                            <a:schemeClr val="dk1"/>
                          </a:fontRef>
                        </wps:style>
                        <wps:txbx>
                          <w:txbxContent>
                            <w:p w:rsidR="00D44661" w:rsidRPr="001D352C" w:rsidRDefault="00D44661" w:rsidP="00D44661">
                              <w:pPr>
                                <w:pStyle w:val="Default"/>
                              </w:pPr>
                              <w:r w:rsidRPr="00E735F4">
                                <w:t>Does the</w:t>
                              </w:r>
                              <w:r>
                                <w:t xml:space="preserve"> board or committee decision making </w:t>
                              </w:r>
                              <w:r w:rsidRPr="00E6095E">
                                <w:rPr>
                                  <w:rStyle w:val="Strong"/>
                                </w:rPr>
                                <w:t>significantly</w:t>
                              </w:r>
                              <w:r>
                                <w:t xml:space="preserve"> affect the agency’s outcomes? </w:t>
                              </w:r>
                            </w:p>
                            <w:p w:rsidR="006C5353" w:rsidRDefault="006C5353" w:rsidP="006C5353">
                              <w:r w:rsidRPr="001D352C">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Down Arrow 11"/>
                        <wps:cNvSpPr/>
                        <wps:spPr>
                          <a:xfrm>
                            <a:off x="3481823" y="2937369"/>
                            <a:ext cx="510984" cy="3025281"/>
                          </a:xfrm>
                          <a:prstGeom prst="downArrow">
                            <a:avLst/>
                          </a:prstGeom>
                          <a:ln/>
                        </wps:spPr>
                        <wps:style>
                          <a:lnRef idx="1">
                            <a:schemeClr val="accent6"/>
                          </a:lnRef>
                          <a:fillRef idx="2">
                            <a:schemeClr val="accent6"/>
                          </a:fillRef>
                          <a:effectRef idx="1">
                            <a:schemeClr val="accent6"/>
                          </a:effectRef>
                          <a:fontRef idx="minor">
                            <a:schemeClr val="dk1"/>
                          </a:fontRef>
                        </wps:style>
                        <wps:txbx>
                          <w:txbxContent>
                            <w:p w:rsidR="006C5353" w:rsidRDefault="006C5353" w:rsidP="006C5353">
                              <w:pPr>
                                <w:jc w:val="center"/>
                              </w:pPr>
                              <w: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Flowchart: Process 13"/>
                        <wps:cNvSpPr/>
                        <wps:spPr>
                          <a:xfrm>
                            <a:off x="95250" y="6076950"/>
                            <a:ext cx="4581525" cy="466725"/>
                          </a:xfrm>
                          <a:prstGeom prst="flowChartProcess">
                            <a:avLst/>
                          </a:prstGeom>
                          <a:solidFill>
                            <a:sysClr val="window" lastClr="FFFFFF"/>
                          </a:solidFill>
                          <a:ln w="12700" cap="flat" cmpd="sng" algn="ctr">
                            <a:solidFill>
                              <a:srgbClr val="70AD47"/>
                            </a:solidFill>
                            <a:prstDash val="solid"/>
                            <a:miter lim="800000"/>
                          </a:ln>
                          <a:effectLst/>
                        </wps:spPr>
                        <wps:txbx>
                          <w:txbxContent>
                            <w:p w:rsidR="00D44661" w:rsidRPr="0074630E" w:rsidRDefault="00D44661" w:rsidP="00D44661">
                              <w:pPr>
                                <w:pStyle w:val="Default"/>
                              </w:pPr>
                              <w:r w:rsidRPr="0074630E">
                                <w:t xml:space="preserve">The </w:t>
                              </w:r>
                              <w:r w:rsidR="006D2AF2">
                                <w:t>b</w:t>
                              </w:r>
                              <w:r>
                                <w:t xml:space="preserve">oard or committee is collectively </w:t>
                              </w:r>
                              <w:r w:rsidRPr="0074630E">
                                <w:t>considered KMP</w:t>
                              </w:r>
                              <w:r>
                                <w:t xml:space="preserve"> and all members are </w:t>
                              </w:r>
                              <w:r w:rsidRPr="0074630E">
                                <w:t>required to complete a declaration.</w:t>
                              </w:r>
                            </w:p>
                            <w:p w:rsidR="006C5353" w:rsidRDefault="006C5353" w:rsidP="006C535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ight Arrow 15"/>
                        <wps:cNvSpPr/>
                        <wps:spPr>
                          <a:xfrm>
                            <a:off x="4667392" y="2146238"/>
                            <a:ext cx="847788" cy="568388"/>
                          </a:xfrm>
                          <a:prstGeom prst="rightArrow">
                            <a:avLst/>
                          </a:prstGeom>
                          <a:ln/>
                        </wps:spPr>
                        <wps:style>
                          <a:lnRef idx="2">
                            <a:schemeClr val="accent1">
                              <a:shade val="50000"/>
                            </a:schemeClr>
                          </a:lnRef>
                          <a:fillRef idx="1">
                            <a:schemeClr val="accent1"/>
                          </a:fillRef>
                          <a:effectRef idx="0">
                            <a:schemeClr val="accent1"/>
                          </a:effectRef>
                          <a:fontRef idx="minor">
                            <a:schemeClr val="lt1"/>
                          </a:fontRef>
                        </wps:style>
                        <wps:txbx>
                          <w:txbxContent>
                            <w:p w:rsidR="006C5353" w:rsidRDefault="006C5353" w:rsidP="006C5353">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Down Arrow 19"/>
                        <wps:cNvSpPr/>
                        <wps:spPr>
                          <a:xfrm>
                            <a:off x="664450" y="3026350"/>
                            <a:ext cx="495300" cy="3000375"/>
                          </a:xfrm>
                          <a:prstGeom prst="downArrow">
                            <a:avLst/>
                          </a:prstGeom>
                          <a:ln/>
                        </wps:spPr>
                        <wps:style>
                          <a:lnRef idx="1">
                            <a:schemeClr val="accent6"/>
                          </a:lnRef>
                          <a:fillRef idx="2">
                            <a:schemeClr val="accent6"/>
                          </a:fillRef>
                          <a:effectRef idx="1">
                            <a:schemeClr val="accent6"/>
                          </a:effectRef>
                          <a:fontRef idx="minor">
                            <a:schemeClr val="dk1"/>
                          </a:fontRef>
                        </wps:style>
                        <wps:txbx>
                          <w:txbxContent>
                            <w:p w:rsidR="006C5353" w:rsidRDefault="006C5353" w:rsidP="006C5353">
                              <w:pPr>
                                <w:jc w:val="center"/>
                              </w:pPr>
                              <w: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ight Arrow 24"/>
                        <wps:cNvSpPr/>
                        <wps:spPr>
                          <a:xfrm>
                            <a:off x="1905000" y="2095500"/>
                            <a:ext cx="771525" cy="523875"/>
                          </a:xfrm>
                          <a:prstGeom prst="rightArrow">
                            <a:avLst/>
                          </a:prstGeom>
                          <a:ln/>
                        </wps:spPr>
                        <wps:style>
                          <a:lnRef idx="2">
                            <a:schemeClr val="accent1">
                              <a:shade val="50000"/>
                            </a:schemeClr>
                          </a:lnRef>
                          <a:fillRef idx="1">
                            <a:schemeClr val="accent1"/>
                          </a:fillRef>
                          <a:effectRef idx="0">
                            <a:schemeClr val="accent1"/>
                          </a:effectRef>
                          <a:fontRef idx="minor">
                            <a:schemeClr val="lt1"/>
                          </a:fontRef>
                        </wps:style>
                        <wps:txbx>
                          <w:txbxContent>
                            <w:p w:rsidR="006C5353" w:rsidRDefault="006C5353" w:rsidP="006C5353">
                              <w:pPr>
                                <w:jc w:val="center"/>
                              </w:pPr>
                              <w: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own Arrow 8"/>
                        <wps:cNvSpPr/>
                        <wps:spPr>
                          <a:xfrm>
                            <a:off x="704850" y="1347273"/>
                            <a:ext cx="495300" cy="595827"/>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6C5353" w:rsidRDefault="006C5353" w:rsidP="006C5353">
                              <w:pPr>
                                <w:jc w:val="center"/>
                              </w:pPr>
                              <w: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7ECB3B9" id="Group 5" o:spid="_x0000_s1026" alt="Title: Flow Chart - Identifying KMP of your Entity - Description: Flow Chart - Identifying KMP of your Entity" style="position:absolute;margin-left:-7.2pt;margin-top:23.5pt;width:494.25pt;height:612.75pt;z-index:251659264;mso-position-horizontal-relative:margin;mso-width-relative:margin;mso-height-relative:margin" coordorigin="" coordsize="66559,65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">
                <v:shapetype id="_x0000_t109" coordsize="21600,21600" o:spt="109" path="m,l,21600r21600,l21600,xe">
                  <v:stroke joinstyle="miter"/>
                  <v:path gradientshapeok="t" o:connecttype="rect"/>
                </v:shapetype>
                <v:shape id="Flowchart: Process 27" o:spid="_x0000_s1027" type="#_x0000_t109" style="position:absolute;top:95;width:20146;height:129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qF1sQA&#10;AADbAAAADwAAAGRycy9kb3ducmV2LnhtbESPS2vCQBSF90L/w3ALbqRO6kJD6ihSFF+rpqXQ3SVz&#10;mwQzd8LMROO/dwTB5eE8Ps582ZtGnMn52rKC93ECgriwuuZSwc/35i0F4QOyxsYyKbiSh+XiZTDH&#10;TNsLf9E5D6WII+wzVFCF0GZS+qIig35sW+Lo/VtnMETpSqkdXuK4aeQkSabSYM2RUGFLnxUVp7wz&#10;kdttR+uDcenxZNerspv+peZ3r9TwtV99gAjUh2f40d5pBZMZ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6hdbEAAAA2wAAAA8AAAAAAAAAAAAAAAAAmAIAAGRycy9k&#10;b3ducmV2LnhtbFBLBQYAAAAABAAEAPUAAACJAwAAAAA=&#10;" fillcolor="white [3201]" strokecolor="#f79646 [3209]" strokeweight="2pt">
                  <v:textbox>
                    <w:txbxContent>
                      <w:p w:rsidR="00D44661" w:rsidRDefault="00D44661" w:rsidP="00D44661">
                        <w:pPr>
                          <w:pStyle w:val="Default"/>
                        </w:pPr>
                        <w:r>
                          <w:t xml:space="preserve">Does the enabling legislation or the terms of reference give the board/committee authority or responsibility for planning, directing and controlling the activities of the entity? </w:t>
                        </w:r>
                      </w:p>
                      <w:p w:rsidR="006C5353" w:rsidRDefault="006C5353" w:rsidP="006C5353">
                        <w:pPr>
                          <w:pStyle w:val="Default"/>
                        </w:pPr>
                      </w:p>
                    </w:txbxContent>
                  </v:textbox>
                </v:shape>
                <v:shape id="Flowchart: Process 2" o:spid="_x0000_s1028" type="#_x0000_t109" style="position:absolute;left:55715;width:10844;height:63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OScMA&#10;AADaAAAADwAAAGRycy9kb3ducmV2LnhtbESPzWrCQBSF9wXfYbiCm6ITXYSQOkookdZ2VVsK7i6Z&#10;2ySYuRNmJia+vVModHk4Px9nu59MJ67kfGtZwXqVgCCurG65VvD1eVhmIHxA1thZJgU38rDfzR62&#10;mGs78gddT6EWcYR9jgqaEPpcSl81ZNCvbE8cvR/rDIYoXS21wzGOm05ukiSVBluOhAZ7em6oupwG&#10;E7nDy2P5Zlz2frFlUQ/pOTPfR6UW86l4AhFoCv/hv/arVrCB3yvxBs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DOScMAAADaAAAADwAAAAAAAAAAAAAAAACYAgAAZHJzL2Rv&#10;d25yZXYueG1sUEsFBgAAAAAEAAQA9QAAAIgDAAAAAA==&#10;" fillcolor="white [3201]" strokecolor="#f79646 [3209]" strokeweight="2pt">
                  <v:textbox>
                    <w:txbxContent>
                      <w:p w:rsidR="006C5353" w:rsidRDefault="00D44661" w:rsidP="006C5353">
                        <w:pPr>
                          <w:pStyle w:val="Default"/>
                        </w:pPr>
                        <w:r>
                          <w:t>The board or committee is</w:t>
                        </w:r>
                        <w:r w:rsidRPr="00E6095E">
                          <w:rPr>
                            <w:rStyle w:val="Strong"/>
                          </w:rPr>
                          <w:t xml:space="preserve"> not</w:t>
                        </w:r>
                        <w:r>
                          <w:t xml:space="preserve"> considered KMP of the reporting entity and members do not need to complete a declaration</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9" type="#_x0000_t13" style="position:absolute;left:20784;top:2000;width:34003;height:59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5HBsQA&#10;AADaAAAADwAAAGRycy9kb3ducmV2LnhtbESPzWrDMBCE74W+g9hAb42UFkJwLIeSpsXQQ8kPCbkt&#10;1tY2sVZGUhP37aNCIMdhZr5h8sVgO3EmH1rHGiZjBYK4cqblWsNu+/E8AxEissHOMWn4owCL4vEh&#10;x8y4C6/pvIm1SBAOGWpoYuwzKUPVkMUwdj1x8n6ctxiT9LU0Hi8Jbjv5otRUWmw5LTTY07Kh6rT5&#10;tRrUrjx9d1+ryX7ttsd3/lwdSq+0fhoNb3MQkYZ4D9/apdHwCv9X0g2Q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uRwbEAAAA2gAAAA8AAAAAAAAAAAAAAAAAmAIAAGRycy9k&#10;b3ducmV2LnhtbFBLBQYAAAAABAAEAPUAAACJAwAAAAA=&#10;" adj="19698" fillcolor="#4f81bd [3204]" strokecolor="#243f60 [1604]" strokeweight="2pt">
                  <v:textbox>
                    <w:txbxContent>
                      <w:p w:rsidR="006C5353" w:rsidRDefault="006C5353" w:rsidP="006C5353">
                        <w:pPr>
                          <w:jc w:val="center"/>
                        </w:pPr>
                        <w:r>
                          <w:t>No</w:t>
                        </w:r>
                      </w:p>
                    </w:txbxContent>
                  </v:textbox>
                </v:shape>
                <v:shape id="Flowchart: Process 4" o:spid="_x0000_s1030" type="#_x0000_t109" style="position:absolute;top:19621;width:18573;height:101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zpsMA&#10;AADaAAAADwAAAGRycy9kb3ducmV2LnhtbESPS2vCQBSF90L/w3ALbkQnliIhdRQpSn2sTIvQ3SVz&#10;mwQzd8LMROO/7wiCy8N5fJz5sjeNuJDztWUF00kCgriwuuZSwc/3ZpyC8AFZY2OZFNzIw3LxMphj&#10;pu2Vj3TJQyniCPsMFVQhtJmUvqjIoJ/Yljh6f9YZDFG6UmqH1zhuGvmWJDNpsOZIqLClz4qKc96Z&#10;yO2+Ruu9cenhbNerspv9pua0U2r42q8+QATqwzP8aG+1gne4X4k3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XzpsMAAADaAAAADwAAAAAAAAAAAAAAAACYAgAAZHJzL2Rv&#10;d25yZXYueG1sUEsFBgAAAAAEAAQA9QAAAIgDAAAAAA==&#10;" fillcolor="white [3201]" strokecolor="#f79646 [3209]" strokeweight="2pt">
                  <v:textbox>
                    <w:txbxContent>
                      <w:p w:rsidR="00D44661" w:rsidRDefault="00D44661" w:rsidP="00D44661">
                        <w:pPr>
                          <w:pStyle w:val="Default"/>
                        </w:pPr>
                        <w:r>
                          <w:t>Does the board or committees decision –making authority have impact on the reporting entity as a whole?</w:t>
                        </w:r>
                      </w:p>
                      <w:p w:rsidR="006C5353" w:rsidRDefault="006C5353" w:rsidP="006C5353">
                        <w:pPr>
                          <w:pStyle w:val="Default"/>
                        </w:pPr>
                      </w:p>
                    </w:txbxContent>
                  </v:textbox>
                </v:shape>
                <v:shape id="Flowchart: Process 7" o:spid="_x0000_s1031" type="#_x0000_t109" style="position:absolute;left:27336;top:19431;width:18574;height:9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zpk8EA&#10;AADaAAAADwAAAGRycy9kb3ducmV2LnhtbESP0YrCMBRE3wX/IVzBN03cB5XaVERQFkTcVT/g0lzb&#10;anNTm6jdv98IC/s4zMwZJl12thZPan3lWMNkrEAQ585UXGg4nzajOQgfkA3WjknDD3lYZv1eiolx&#10;L/6m5zEUIkLYJ6ihDKFJpPR5SRb92DXE0bu41mKIsi2kafEV4baWH0pNpcWK40KJDa1Lym/Hh9Vw&#10;s7vTw64PDnO1v39dD+etmiuth4NutQARqAv/4b/2p9Ewg/eVe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c6ZPBAAAA2gAAAA8AAAAAAAAAAAAAAAAAmAIAAGRycy9kb3du&#10;cmV2LnhtbFBLBQYAAAAABAAEAPUAAACGAwAAAAA=&#10;" fillcolor="white [3201]" strokecolor="#f79646 [3209]" strokeweight="2pt">
                  <v:textbox>
                    <w:txbxContent>
                      <w:p w:rsidR="00D44661" w:rsidRPr="001D352C" w:rsidRDefault="00D44661" w:rsidP="00D44661">
                        <w:pPr>
                          <w:pStyle w:val="Default"/>
                        </w:pPr>
                        <w:r w:rsidRPr="00E735F4">
                          <w:t>Does the</w:t>
                        </w:r>
                        <w:r>
                          <w:t xml:space="preserve"> board or committee decision making </w:t>
                        </w:r>
                        <w:r w:rsidRPr="00E6095E">
                          <w:rPr>
                            <w:rStyle w:val="Strong"/>
                          </w:rPr>
                          <w:t>significantly</w:t>
                        </w:r>
                        <w:r>
                          <w:t xml:space="preserve"> affect the agency’s outcomes? </w:t>
                        </w:r>
                      </w:p>
                      <w:p w:rsidR="006C5353" w:rsidRDefault="006C5353" w:rsidP="006C5353">
                        <w:r w:rsidRPr="001D352C">
                          <w:t xml:space="preserve"> </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32" type="#_x0000_t67" style="position:absolute;left:34818;top:29373;width:5110;height:302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SwcQA&#10;AADbAAAADwAAAGRycy9kb3ducmV2LnhtbERPTWvCQBC9C/6HZQpepG7iQUvqKrVFsaCHxB56HLLT&#10;JG12NuyuGvvruwXB2zze5yxWvWnFmZxvLCtIJwkI4tLqhisFH8fN4xMIH5A1tpZJwZU8rJbDwQIz&#10;bS+c07kIlYgh7DNUUIfQZVL6siaDfmI74sh9WWcwROgqqR1eYrhp5TRJZtJgw7Ghxo5eayp/ipNR&#10;QL/TcX7cfu/nb++79JCTXbvDp1Kjh/7lGUSgPtzFN/dOx/kp/P8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IEsHEAAAA2wAAAA8AAAAAAAAAAAAAAAAAmAIAAGRycy9k&#10;b3ducmV2LnhtbFBLBQYAAAAABAAEAPUAAACJAwAAAAA=&#10;" adj="19776" fillcolor="#fbcaa2 [1625]" strokecolor="#f68c36 [3049]">
                  <v:fill color2="#fdefe3 [505]" rotate="t" angle="180" colors="0 #ffbe86;22938f #ffd0aa;1 #ffebdb" focus="100%" type="gradient"/>
                  <v:shadow on="t" color="black" opacity="24903f" origin=",.5" offset="0,.55556mm"/>
                  <v:textbox>
                    <w:txbxContent>
                      <w:p w:rsidR="006C5353" w:rsidRDefault="006C5353" w:rsidP="006C5353">
                        <w:pPr>
                          <w:jc w:val="center"/>
                        </w:pPr>
                        <w:r>
                          <w:t>Yes</w:t>
                        </w:r>
                      </w:p>
                    </w:txbxContent>
                  </v:textbox>
                </v:shape>
                <v:shape id="Flowchart: Process 13" o:spid="_x0000_s1033" type="#_x0000_t109" style="position:absolute;left:952;top:60769;width:45815;height:4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7VYcUA&#10;AADbAAAADwAAAGRycy9kb3ducmV2LnhtbESPQWvCQBCF7wX/wzIFb3VTrUVSVxFDoEgvjQoeh+wk&#10;G5qdDdnVpP76bqHQ2wzvzfverLejbcWNet84VvA8S0AQl043XCs4HfOnFQgfkDW2jknBN3nYbiYP&#10;a0y1G/iTbkWoRQxhn6ICE0KXSulLQxb9zHXEUatcbzHEta+l7nGI4baV8yR5lRYbjgSDHe0NlV/F&#10;1UZIVi0vH23WvSyPeXE/nIc9VrVS08dx9wYi0Bj+zX/X7zrWX8DvL3E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tVhxQAAANsAAAAPAAAAAAAAAAAAAAAAAJgCAABkcnMv&#10;ZG93bnJldi54bWxQSwUGAAAAAAQABAD1AAAAigMAAAAA&#10;" fillcolor="window" strokecolor="#70ad47" strokeweight="1pt">
                  <v:textbox>
                    <w:txbxContent>
                      <w:p w:rsidR="00D44661" w:rsidRPr="0074630E" w:rsidRDefault="00D44661" w:rsidP="00D44661">
                        <w:pPr>
                          <w:pStyle w:val="Default"/>
                        </w:pPr>
                        <w:r w:rsidRPr="0074630E">
                          <w:t xml:space="preserve">The </w:t>
                        </w:r>
                        <w:r w:rsidR="006D2AF2">
                          <w:t>b</w:t>
                        </w:r>
                        <w:r>
                          <w:t xml:space="preserve">oard or committee is collectively </w:t>
                        </w:r>
                        <w:r w:rsidRPr="0074630E">
                          <w:t>considered KMP</w:t>
                        </w:r>
                        <w:r>
                          <w:t xml:space="preserve"> and all members are </w:t>
                        </w:r>
                        <w:r w:rsidRPr="0074630E">
                          <w:t>required to complete a declaration.</w:t>
                        </w:r>
                      </w:p>
                      <w:p w:rsidR="006C5353" w:rsidRDefault="006C5353" w:rsidP="006C5353">
                        <w:pPr>
                          <w:jc w:val="center"/>
                        </w:pPr>
                      </w:p>
                    </w:txbxContent>
                  </v:textbox>
                </v:shape>
                <v:shape id="Right Arrow 15" o:spid="_x0000_s1034" type="#_x0000_t13" style="position:absolute;left:46673;top:21462;width:8478;height:56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3AI78A&#10;AADbAAAADwAAAGRycy9kb3ducmV2LnhtbERPS4vCMBC+L+x/CLOwtzVVWJFqlLqsRfDi6+JtaMam&#10;2ExKE2v990YQvM3H95zZore16Kj1lWMFw0ECgrhwuuJSwfGw+pmA8AFZY+2YFNzJw2L++THDVLsb&#10;76jbh1LEEPYpKjAhNKmUvjBk0Q9cQxy5s2sthgjbUuoWbzHc1nKUJGNpseLYYLChP0PFZX+1CvJT&#10;ZpZmu7W0vuu8+9/keM2sUt9ffTYFEagPb/HLvdZx/i8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XcAjvwAAANsAAAAPAAAAAAAAAAAAAAAAAJgCAABkcnMvZG93bnJl&#10;di54bWxQSwUGAAAAAAQABAD1AAAAhAMAAAAA&#10;" adj="14359" fillcolor="#4f81bd [3204]" strokecolor="#243f60 [1604]" strokeweight="2pt">
                  <v:textbox>
                    <w:txbxContent>
                      <w:p w:rsidR="006C5353" w:rsidRDefault="006C5353" w:rsidP="006C5353">
                        <w:pPr>
                          <w:jc w:val="center"/>
                        </w:pPr>
                        <w:r>
                          <w:t>No</w:t>
                        </w:r>
                      </w:p>
                    </w:txbxContent>
                  </v:textbox>
                </v:shape>
                <v:shape id="Down Arrow 19" o:spid="_x0000_s1035" type="#_x0000_t67" style="position:absolute;left:6644;top:30263;width:4953;height:300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CV8AA&#10;AADbAAAADwAAAGRycy9kb3ducmV2LnhtbERPS4vCMBC+L/gfwgheFk31sGg1iogLe9TqQW9DM33Y&#10;ZlKaqPHfbxYWvM3H95zVJphWPKh3tWUF00kCgji3uuZSwfn0PZ6DcB5ZY2uZFLzIwWY9+Fhhqu2T&#10;j/TIfCliCLsUFVTed6mULq/IoJvYjjhyhe0N+gj7UuoenzHctHKWJF/SYM2xocKOdhXlTXY3Copw&#10;vlzplhXh7pLPw+nSHHWzV2o0DNslCE/Bv8X/7h8d5y/g75d4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cFCV8AAAADbAAAADwAAAAAAAAAAAAAAAACYAgAAZHJzL2Rvd25y&#10;ZXYueG1sUEsFBgAAAAAEAAQA9QAAAIUDAAAAAA==&#10;" adj="19817" fillcolor="#fbcaa2 [1625]" strokecolor="#f68c36 [3049]">
                  <v:fill color2="#fdefe3 [505]" rotate="t" angle="180" colors="0 #ffbe86;22938f #ffd0aa;1 #ffebdb" focus="100%" type="gradient"/>
                  <v:shadow on="t" color="black" opacity="24903f" origin=",.5" offset="0,.55556mm"/>
                  <v:textbox>
                    <w:txbxContent>
                      <w:p w:rsidR="006C5353" w:rsidRDefault="006C5353" w:rsidP="006C5353">
                        <w:pPr>
                          <w:jc w:val="center"/>
                        </w:pPr>
                        <w:r>
                          <w:t>Yes</w:t>
                        </w:r>
                      </w:p>
                    </w:txbxContent>
                  </v:textbox>
                </v:shape>
                <v:shape id="Right Arrow 24" o:spid="_x0000_s1036" type="#_x0000_t13" style="position:absolute;left:19050;top:20955;width:7715;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Ko78MA&#10;AADbAAAADwAAAGRycy9kb3ducmV2LnhtbESPQWvCQBSE7wX/w/IEb3XTUEpJXcUKSj1qpbk+dl+T&#10;1OzbsLuaxF/vFgo9DjPzDbNYDbYVV/KhcazgaZ6BINbONFwpOH1uH19BhIhssHVMCkYKsFpOHhZY&#10;GNfzga7HWIkE4VCggjrGrpAy6JoshrnriJP37bzFmKSvpPHYJ7htZZ5lL9Jiw2mhxo42Nenz8WIV&#10;/LxX/Xjbl5tRm1up/TYv26+dUrPpsH4DEWmI/+G/9odRkD/D75f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Ko78MAAADbAAAADwAAAAAAAAAAAAAAAACYAgAAZHJzL2Rv&#10;d25yZXYueG1sUEsFBgAAAAAEAAQA9QAAAIgDAAAAAA==&#10;" adj="14267" fillcolor="#4f81bd [3204]" strokecolor="#243f60 [1604]" strokeweight="2pt">
                  <v:textbox>
                    <w:txbxContent>
                      <w:p w:rsidR="006C5353" w:rsidRDefault="006C5353" w:rsidP="006C5353">
                        <w:pPr>
                          <w:jc w:val="center"/>
                        </w:pPr>
                        <w:r>
                          <w:t>No</w:t>
                        </w:r>
                      </w:p>
                    </w:txbxContent>
                  </v:textbox>
                </v:shape>
                <v:shape id="Down Arrow 8" o:spid="_x0000_s1037" type="#_x0000_t67" style="position:absolute;left:7048;top:13472;width:4953;height:5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8LMAA&#10;AADaAAAADwAAAGRycy9kb3ducmV2LnhtbERPPW/CMBDdK/U/WIfUrTiQglDAoIJAycAC7cB4iq9x&#10;1PgcxW4S/n09IDE+ve/NbrSN6KnztWMFs2kCgrh0uuZKwffX6X0FwgdkjY1jUnAnD7vt68sGM+0G&#10;vlB/DZWIIewzVGBCaDMpfWnIop+6ljhyP66zGCLsKqk7HGK4beQ8SZbSYs2xwWBLB0Pl7/XPKrj5&#10;hTke99gX+7NJTYN5vvpIlXqbjJ9rEIHG8BQ/3IVWELfGK/EGyO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I8LMAAAADaAAAADwAAAAAAAAAAAAAAAACYAgAAZHJzL2Rvd25y&#10;ZXYueG1sUEsFBgAAAAAEAAQA9QAAAIUDAAAAAA==&#10;" adj="12622" fillcolor="#b5d5a7" strokecolor="#70ad47" strokeweight=".5pt">
                  <v:fill color2="#9cca86" rotate="t" colors="0 #b5d5a7;.5 #aace99;1 #9cca86" focus="100%" type="gradient">
                    <o:fill v:ext="view" type="gradientUnscaled"/>
                  </v:fill>
                  <v:textbox>
                    <w:txbxContent>
                      <w:p w:rsidR="006C5353" w:rsidRDefault="006C5353" w:rsidP="006C5353">
                        <w:pPr>
                          <w:jc w:val="center"/>
                        </w:pPr>
                        <w:r>
                          <w:t>Yes</w:t>
                        </w:r>
                      </w:p>
                    </w:txbxContent>
                  </v:textbox>
                </v:shape>
                <w10:wrap anchorx="margin"/>
              </v:group>
            </w:pict>
          </mc:Fallback>
        </mc:AlternateContent>
      </w:r>
    </w:p>
    <w:sectPr w:rsidR="00D44661" w:rsidRPr="00FA5D62" w:rsidSect="00705C9D">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8BF" w:rsidRDefault="007618BF" w:rsidP="007332FF">
      <w:r>
        <w:separator/>
      </w:r>
    </w:p>
  </w:endnote>
  <w:endnote w:type="continuationSeparator" w:id="0">
    <w:p w:rsidR="007618BF" w:rsidRDefault="007618BF"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985" w:rsidRDefault="00A309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Pr="00AE306C" w:rsidRDefault="009A152D" w:rsidP="002926BC">
    <w:pPr>
      <w:tabs>
        <w:tab w:val="right" w:pos="10206"/>
      </w:tabs>
      <w:spacing w:after="120"/>
      <w:ind w:left="-567" w:right="-568"/>
      <w:rPr>
        <w:sz w:val="16"/>
        <w:szCs w:val="16"/>
      </w:rPr>
    </w:pPr>
    <w:r>
      <w:rPr>
        <w:sz w:val="16"/>
        <w:szCs w:val="16"/>
      </w:rPr>
      <w:pict>
        <v:rect id="_x0000_i1025" style="width:481.9pt;height:.5pt" o:hralign="center" o:hrstd="t" o:hrnoshade="t" o:hr="t" fillcolor="black [3213]" stroked="f"/>
      </w:pict>
    </w:r>
  </w:p>
  <w:p w:rsidR="00A07490" w:rsidRPr="004D1B76" w:rsidRDefault="00A07490"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sidR="009A152D">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sidR="009A152D">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9A152D">
      <w:rPr>
        <w:rStyle w:val="NTGFooter2deptpagenumChar"/>
        <w:rFonts w:eastAsia="Calibri"/>
        <w:noProof/>
      </w:rPr>
      <w:t>2</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9A152D">
      <w:rPr>
        <w:rStyle w:val="NTGFooter2deptpagenumChar"/>
        <w:rFonts w:eastAsia="Calibri"/>
        <w:noProof/>
      </w:rPr>
      <w:t>3</w:t>
    </w:r>
    <w:r w:rsidRPr="007B5DA2">
      <w:rPr>
        <w:rStyle w:val="NTGFooter2deptpagenumChar"/>
        <w:rFonts w:eastAsia="Calibri"/>
      </w:rPr>
      <w:fldChar w:fldCharType="end"/>
    </w:r>
  </w:p>
  <w:p w:rsidR="00A07490" w:rsidRPr="007B5DA2" w:rsidRDefault="009A152D" w:rsidP="002926BC">
    <w:pPr>
      <w:pStyle w:val="NTGFooter2DateVersion"/>
      <w:tabs>
        <w:tab w:val="clear" w:pos="9639"/>
        <w:tab w:val="right" w:pos="10206"/>
      </w:tabs>
      <w:ind w:left="-567" w:right="-568"/>
      <w:rPr>
        <w:rStyle w:val="NTGFooter2deptpagenumChar"/>
        <w:rFonts w:eastAsia="Calibri"/>
      </w:rPr>
    </w:pPr>
    <w:r>
      <w:fldChar w:fldCharType="begin"/>
    </w:r>
    <w:r>
      <w:instrText xml:space="preserve"> DOCPROPERTY  DocumentDate  \* MERGEFORMAT </w:instrText>
    </w:r>
    <w:r>
      <w:fldChar w:fldCharType="separate"/>
    </w:r>
    <w:r>
      <w:t>3 August 2017</w:t>
    </w:r>
    <w:r>
      <w:fldChar w:fldCharType="end"/>
    </w:r>
    <w:bookmarkStart w:id="0" w:name="_GoBack"/>
    <w:bookmarkEnd w:id="0"/>
    <w:r w:rsidR="00705F13">
      <w:fldChar w:fldCharType="begin"/>
    </w:r>
    <w:r w:rsidR="00705F13">
      <w:instrText xml:space="preserve"> DOCPROPERTY  VersionNo  \* MERGEFORMAT </w:instrText>
    </w:r>
    <w:r w:rsidR="00705F13">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A07490" w:rsidRPr="00132658" w:rsidTr="007D4893">
      <w:trPr>
        <w:cantSplit/>
        <w:trHeight w:hRule="exact" w:val="1400"/>
        <w:tblHeader/>
      </w:trPr>
      <w:tc>
        <w:tcPr>
          <w:tcW w:w="8505" w:type="dxa"/>
          <w:vAlign w:val="center"/>
        </w:tcPr>
        <w:p w:rsidR="00A07490" w:rsidRPr="00705C9D" w:rsidRDefault="00A07490"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sidR="00A30985">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sidR="00A30985">
            <w:rPr>
              <w:rStyle w:val="NTGFooterDepartmentNameChar"/>
            </w:rPr>
            <w:t>Treasury and Finance</w:t>
          </w:r>
          <w:r w:rsidRPr="00705C9D">
            <w:rPr>
              <w:rStyle w:val="NTGFooterDepartmentNameChar"/>
            </w:rPr>
            <w:fldChar w:fldCharType="end"/>
          </w:r>
        </w:p>
        <w:p w:rsidR="00A07490" w:rsidRPr="007B5DA2" w:rsidRDefault="00A07490" w:rsidP="007B5DA2">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9A152D">
            <w:rPr>
              <w:noProof/>
            </w:rPr>
            <w:t>1</w:t>
          </w:r>
          <w:r w:rsidRPr="007B5DA2">
            <w:fldChar w:fldCharType="end"/>
          </w:r>
          <w:r w:rsidRPr="007B5DA2">
            <w:t xml:space="preserve"> of </w:t>
          </w:r>
          <w:r w:rsidR="009A152D">
            <w:fldChar w:fldCharType="begin"/>
          </w:r>
          <w:r w:rsidR="009A152D">
            <w:instrText xml:space="preserve"> NUMPAGES  \* Arabic  \* MERGEFORMAT </w:instrText>
          </w:r>
          <w:r w:rsidR="009A152D">
            <w:fldChar w:fldCharType="separate"/>
          </w:r>
          <w:r w:rsidR="009A152D">
            <w:rPr>
              <w:noProof/>
            </w:rPr>
            <w:t>3</w:t>
          </w:r>
          <w:r w:rsidR="009A152D">
            <w:rPr>
              <w:noProof/>
            </w:rPr>
            <w:fldChar w:fldCharType="end"/>
          </w:r>
          <w:r w:rsidRPr="007B5DA2">
            <w:tab/>
          </w:r>
          <w:r w:rsidRPr="007B5DA2">
            <w:rPr>
              <w:rStyle w:val="NTGFooter1itemsChar"/>
            </w:rPr>
            <w:fldChar w:fldCharType="begin"/>
          </w:r>
          <w:r w:rsidRPr="007B5DA2">
            <w:rPr>
              <w:rStyle w:val="NTGFooter1itemsChar"/>
            </w:rPr>
            <w:instrText xml:space="preserve"> DOCPROPERTY  DocumentDate  \* MERGEFORMAT </w:instrText>
          </w:r>
          <w:r w:rsidRPr="007B5DA2">
            <w:rPr>
              <w:rStyle w:val="NTGFooter1itemsChar"/>
            </w:rPr>
            <w:fldChar w:fldCharType="separate"/>
          </w:r>
          <w:r w:rsidR="00A30985">
            <w:rPr>
              <w:rStyle w:val="NTGFooter1itemsChar"/>
            </w:rPr>
            <w:t>3 August 2017</w:t>
          </w:r>
          <w:r w:rsidRPr="007B5DA2">
            <w:rPr>
              <w:rStyle w:val="NTGFooter1itemsChar"/>
            </w:rPr>
            <w:fldChar w:fldCharType="end"/>
          </w:r>
          <w:r w:rsidRPr="007B5DA2">
            <w:rPr>
              <w:rStyle w:val="NTGFooter1itemsChar"/>
            </w:rPr>
            <w:fldChar w:fldCharType="begin"/>
          </w:r>
          <w:r w:rsidRPr="007B5DA2">
            <w:rPr>
              <w:rStyle w:val="NTGFooter1itemsChar"/>
            </w:rPr>
            <w:instrText xml:space="preserve"> DOCPROPERTY  VersionNo  \* MERGEFORMAT </w:instrText>
          </w:r>
          <w:r w:rsidRPr="007B5DA2">
            <w:rPr>
              <w:rStyle w:val="NTGFooter1itemsChar"/>
            </w:rPr>
            <w:fldChar w:fldCharType="end"/>
          </w:r>
        </w:p>
      </w:tc>
      <w:tc>
        <w:tcPr>
          <w:tcW w:w="2268" w:type="dxa"/>
          <w:vAlign w:val="center"/>
        </w:tcPr>
        <w:p w:rsidR="00A07490" w:rsidRPr="001E14EB" w:rsidRDefault="00A07490" w:rsidP="00543BD1">
          <w:pPr>
            <w:spacing w:after="0"/>
            <w:jc w:val="right"/>
          </w:pPr>
          <w:r w:rsidRPr="00132658">
            <w:rPr>
              <w:noProof/>
              <w:lang w:eastAsia="en-AU"/>
            </w:rPr>
            <w:drawing>
              <wp:inline distT="0" distB="0" distL="0" distR="0" wp14:anchorId="239AB0B9" wp14:editId="007A7184">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rsidR="00A07490" w:rsidRPr="00543BD1" w:rsidRDefault="00A07490" w:rsidP="00543BD1">
    <w:pPr>
      <w:pStyle w:val="NoSpacing"/>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8BF" w:rsidRDefault="007618BF" w:rsidP="007332FF">
      <w:r>
        <w:separator/>
      </w:r>
    </w:p>
  </w:footnote>
  <w:footnote w:type="continuationSeparator" w:id="0">
    <w:p w:rsidR="007618BF" w:rsidRDefault="007618BF"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985" w:rsidRDefault="00A309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Default="009A152D" w:rsidP="002926BC">
    <w:pPr>
      <w:pStyle w:val="Header"/>
      <w:tabs>
        <w:tab w:val="clear" w:pos="9026"/>
      </w:tabs>
      <w:ind w:right="-568"/>
    </w:pPr>
    <w:r>
      <w:fldChar w:fldCharType="begin"/>
    </w:r>
    <w:r>
      <w:instrText xml:space="preserve"> TITLE   \* MERGEFORMAT </w:instrText>
    </w:r>
    <w:r>
      <w:fldChar w:fldCharType="separate"/>
    </w:r>
    <w:r w:rsidR="005F1C43">
      <w:t>AASB 124 Related Party Disclosures</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490" w:rsidRDefault="009A152D" w:rsidP="0050530C">
    <w:pPr>
      <w:pStyle w:val="Title"/>
    </w:pPr>
    <w:sdt>
      <w:sdtPr>
        <w:alias w:val="Title"/>
        <w:tag w:val=""/>
        <w:id w:val="1748683773"/>
        <w:dataBinding w:prefixMappings="xmlns:ns0='http://purl.org/dc/elements/1.1/' xmlns:ns1='http://schemas.openxmlformats.org/package/2006/metadata/core-properties' " w:xpath="/ns1:coreProperties[1]/ns0:title[1]" w:storeItemID="{6C3C8BC8-F283-45AE-878A-BAB7291924A1}"/>
        <w:text/>
      </w:sdtPr>
      <w:sdtEndPr/>
      <w:sdtContent>
        <w:r w:rsidR="006C5353">
          <w:t>AASB 124 Related Party Disclosures</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5C03AEC"/>
    <w:multiLevelType w:val="multilevel"/>
    <w:tmpl w:val="BD7A8414"/>
    <w:name w:val="NTG Table Bullet List3322222"/>
    <w:numStyleLink w:val="NTGStandardList"/>
  </w:abstractNum>
  <w:abstractNum w:abstractNumId="2" w15:restartNumberingAfterBreak="0">
    <w:nsid w:val="068B22E4"/>
    <w:multiLevelType w:val="multilevel"/>
    <w:tmpl w:val="4E6AC8F6"/>
    <w:name w:val="NTG Table Bullet List33222222"/>
    <w:numStyleLink w:val="NTGStandardNumList"/>
  </w:abstractNum>
  <w:abstractNum w:abstractNumId="3" w15:restartNumberingAfterBreak="0">
    <w:nsid w:val="06DB268B"/>
    <w:multiLevelType w:val="multilevel"/>
    <w:tmpl w:val="BD7A8414"/>
    <w:name w:val="NTG Table Bullet List32223"/>
    <w:numStyleLink w:val="NTGStandardList"/>
  </w:abstractNum>
  <w:abstractNum w:abstractNumId="4" w15:restartNumberingAfterBreak="0">
    <w:nsid w:val="09CD3ABE"/>
    <w:multiLevelType w:val="multilevel"/>
    <w:tmpl w:val="0C78A7AC"/>
    <w:name w:val="NTG Table Bullet List332222"/>
    <w:numStyleLink w:val="NTGTableList"/>
  </w:abstractNum>
  <w:abstractNum w:abstractNumId="5" w15:restartNumberingAfterBreak="0">
    <w:nsid w:val="0D150856"/>
    <w:multiLevelType w:val="multilevel"/>
    <w:tmpl w:val="E9A4BD4A"/>
    <w:lvl w:ilvl="0">
      <w:start w:val="1"/>
      <w:numFmt w:val="bullet"/>
      <w:lvlText w:val=""/>
      <w:lvlJc w:val="left"/>
      <w:pPr>
        <w:ind w:left="357" w:hanging="357"/>
      </w:pPr>
      <w:rPr>
        <w:rFonts w:ascii="Wingdings" w:hAnsi="Wingdings"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 w15:restartNumberingAfterBreak="0">
    <w:nsid w:val="10111492"/>
    <w:multiLevelType w:val="multilevel"/>
    <w:tmpl w:val="0C78A7AC"/>
    <w:name w:val="NTG Table Bullet List332"/>
    <w:numStyleLink w:val="NTGTableList"/>
  </w:abstractNum>
  <w:abstractNum w:abstractNumId="7" w15:restartNumberingAfterBreak="0">
    <w:nsid w:val="15C55E97"/>
    <w:multiLevelType w:val="multilevel"/>
    <w:tmpl w:val="BD7A8414"/>
    <w:name w:val="NTG Table Bullet List332222222222222222"/>
    <w:numStyleLink w:val="NTGStandardList"/>
  </w:abstractNum>
  <w:abstractNum w:abstractNumId="8" w15:restartNumberingAfterBreak="0">
    <w:nsid w:val="176B0CE3"/>
    <w:multiLevelType w:val="multilevel"/>
    <w:tmpl w:val="39746A98"/>
    <w:name w:val="NTG Table Bullet List332222222222222"/>
    <w:numStyleLink w:val="NTGTableNumList"/>
  </w:abstractNum>
  <w:abstractNum w:abstractNumId="9" w15:restartNumberingAfterBreak="0">
    <w:nsid w:val="18AE0D72"/>
    <w:multiLevelType w:val="multilevel"/>
    <w:tmpl w:val="0C78A7AC"/>
    <w:name w:val="NTG Table Bullet List322"/>
    <w:numStyleLink w:val="NTGTableList"/>
  </w:abstractNum>
  <w:abstractNum w:abstractNumId="10" w15:restartNumberingAfterBreak="0">
    <w:nsid w:val="1BB400DD"/>
    <w:multiLevelType w:val="multilevel"/>
    <w:tmpl w:val="39746A98"/>
    <w:name w:val="NTG Table Bullet List33"/>
    <w:numStyleLink w:val="NTGTableNumList"/>
  </w:abstractNum>
  <w:abstractNum w:abstractNumId="11" w15:restartNumberingAfterBreak="0">
    <w:nsid w:val="1CFF291F"/>
    <w:multiLevelType w:val="multilevel"/>
    <w:tmpl w:val="39746A98"/>
    <w:name w:val="NTG Table Bullet List3222323"/>
    <w:numStyleLink w:val="NTGTableNumList"/>
  </w:abstractNum>
  <w:abstractNum w:abstractNumId="12" w15:restartNumberingAfterBreak="0">
    <w:nsid w:val="241D1D87"/>
    <w:multiLevelType w:val="multilevel"/>
    <w:tmpl w:val="0C78A7AC"/>
    <w:name w:val="NTG Table Bullet List32"/>
    <w:numStyleLink w:val="NTGTableList"/>
  </w:abstractNum>
  <w:abstractNum w:abstractNumId="13"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4" w15:restartNumberingAfterBreak="0">
    <w:nsid w:val="26345893"/>
    <w:multiLevelType w:val="multilevel"/>
    <w:tmpl w:val="4E6AC8F6"/>
    <w:name w:val="NTG Table Bullet List3322222222"/>
    <w:numStyleLink w:val="NTGStandardNumList"/>
  </w:abstractNum>
  <w:abstractNum w:abstractNumId="15" w15:restartNumberingAfterBreak="0">
    <w:nsid w:val="2EF077BC"/>
    <w:multiLevelType w:val="multilevel"/>
    <w:tmpl w:val="0C78A7AC"/>
    <w:name w:val="NTG Table Bullet List33222222222222222222"/>
    <w:numStyleLink w:val="NTGTableList"/>
  </w:abstractNum>
  <w:abstractNum w:abstractNumId="16" w15:restartNumberingAfterBreak="0">
    <w:nsid w:val="300D17D6"/>
    <w:multiLevelType w:val="hybridMultilevel"/>
    <w:tmpl w:val="5AB40E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8" w15:restartNumberingAfterBreak="0">
    <w:nsid w:val="418B29E3"/>
    <w:multiLevelType w:val="multilevel"/>
    <w:tmpl w:val="0C78A7AC"/>
    <w:name w:val="NTG Table Bullet List33222222222222"/>
    <w:numStyleLink w:val="NTGTableList"/>
  </w:abstractNum>
  <w:abstractNum w:abstractNumId="19" w15:restartNumberingAfterBreak="0">
    <w:nsid w:val="426F70CC"/>
    <w:multiLevelType w:val="multilevel"/>
    <w:tmpl w:val="39746A98"/>
    <w:name w:val="NTG Table Bullet List33222222222222222"/>
    <w:numStyleLink w:val="NTGTableNumList"/>
  </w:abstractNum>
  <w:abstractNum w:abstractNumId="20" w15:restartNumberingAfterBreak="0">
    <w:nsid w:val="442340D4"/>
    <w:multiLevelType w:val="hybridMultilevel"/>
    <w:tmpl w:val="B0BE0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B8F005A"/>
    <w:multiLevelType w:val="multilevel"/>
    <w:tmpl w:val="4E6AC8F6"/>
    <w:numStyleLink w:val="NTGStandardNumList"/>
  </w:abstractNum>
  <w:abstractNum w:abstractNumId="22" w15:restartNumberingAfterBreak="0">
    <w:nsid w:val="4B9C702E"/>
    <w:multiLevelType w:val="multilevel"/>
    <w:tmpl w:val="BD7A8414"/>
    <w:name w:val="NTG Table Bullet List3222"/>
    <w:numStyleLink w:val="NTGStandardList"/>
  </w:abstractNum>
  <w:abstractNum w:abstractNumId="23" w15:restartNumberingAfterBreak="0">
    <w:nsid w:val="4D435BB4"/>
    <w:multiLevelType w:val="multilevel"/>
    <w:tmpl w:val="39746A98"/>
    <w:name w:val="NTG Table Bullet List3322"/>
    <w:numStyleLink w:val="NTGTableNumList"/>
  </w:abstractNum>
  <w:abstractNum w:abstractNumId="24"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5"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6" w15:restartNumberingAfterBreak="0">
    <w:nsid w:val="4E002A10"/>
    <w:multiLevelType w:val="multilevel"/>
    <w:tmpl w:val="39746A98"/>
    <w:name w:val="NTG Table Bullet List332222222"/>
    <w:numStyleLink w:val="NTGTableNumList"/>
  </w:abstractNum>
  <w:abstractNum w:abstractNumId="27" w15:restartNumberingAfterBreak="0">
    <w:nsid w:val="4E597CFE"/>
    <w:multiLevelType w:val="multilevel"/>
    <w:tmpl w:val="39746A98"/>
    <w:name w:val="NTG Table Bullet List33222222222"/>
    <w:numStyleLink w:val="NTGTableNumList"/>
  </w:abstractNum>
  <w:abstractNum w:abstractNumId="28"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9" w15:restartNumberingAfterBreak="0">
    <w:nsid w:val="573B315C"/>
    <w:multiLevelType w:val="multilevel"/>
    <w:tmpl w:val="39746A98"/>
    <w:name w:val="NTG Table Bullet List3222322"/>
    <w:numStyleLink w:val="NTGTableNumList"/>
  </w:abstractNum>
  <w:abstractNum w:abstractNumId="30" w15:restartNumberingAfterBreak="0">
    <w:nsid w:val="5B713B90"/>
    <w:multiLevelType w:val="multilevel"/>
    <w:tmpl w:val="4E6AC8F6"/>
    <w:numStyleLink w:val="NTGStandardNumList"/>
  </w:abstractNum>
  <w:abstractNum w:abstractNumId="31" w15:restartNumberingAfterBreak="0">
    <w:nsid w:val="5BCE2A25"/>
    <w:multiLevelType w:val="multilevel"/>
    <w:tmpl w:val="0C78A7AC"/>
    <w:name w:val="NTG Table Bullet List332222222222"/>
    <w:numStyleLink w:val="NTGTableList"/>
  </w:abstractNum>
  <w:abstractNum w:abstractNumId="32" w15:restartNumberingAfterBreak="0">
    <w:nsid w:val="5D042DCE"/>
    <w:multiLevelType w:val="multilevel"/>
    <w:tmpl w:val="4E6AC8F6"/>
    <w:numStyleLink w:val="NTGStandardNumList"/>
  </w:abstractNum>
  <w:abstractNum w:abstractNumId="33" w15:restartNumberingAfterBreak="0">
    <w:nsid w:val="606D0AB2"/>
    <w:multiLevelType w:val="multilevel"/>
    <w:tmpl w:val="4E6AC8F6"/>
    <w:numStyleLink w:val="NTGStandardNumList"/>
  </w:abstractNum>
  <w:abstractNum w:abstractNumId="34" w15:restartNumberingAfterBreak="0">
    <w:nsid w:val="61AD07BD"/>
    <w:multiLevelType w:val="multilevel"/>
    <w:tmpl w:val="4E6AC8F6"/>
    <w:numStyleLink w:val="NTGStandardNumList"/>
  </w:abstractNum>
  <w:abstractNum w:abstractNumId="35" w15:restartNumberingAfterBreak="0">
    <w:nsid w:val="65D566F7"/>
    <w:multiLevelType w:val="multilevel"/>
    <w:tmpl w:val="39746A98"/>
    <w:name w:val="NTG Table Bullet List3322222222222222"/>
    <w:numStyleLink w:val="NTGTableNumList"/>
  </w:abstractNum>
  <w:abstractNum w:abstractNumId="36" w15:restartNumberingAfterBreak="0">
    <w:nsid w:val="6CC62A3C"/>
    <w:multiLevelType w:val="multilevel"/>
    <w:tmpl w:val="39746A98"/>
    <w:name w:val="NTG Table Bullet List33222"/>
    <w:numStyleLink w:val="NTGTableNumList"/>
  </w:abstractNum>
  <w:abstractNum w:abstractNumId="37" w15:restartNumberingAfterBreak="0">
    <w:nsid w:val="70105C45"/>
    <w:multiLevelType w:val="multilevel"/>
    <w:tmpl w:val="39746A98"/>
    <w:name w:val="NTG Table Bullet List3322222222222"/>
    <w:numStyleLink w:val="NTGTableNumList"/>
  </w:abstractNum>
  <w:abstractNum w:abstractNumId="38" w15:restartNumberingAfterBreak="0">
    <w:nsid w:val="7453664D"/>
    <w:multiLevelType w:val="multilevel"/>
    <w:tmpl w:val="0C78A7AC"/>
    <w:name w:val="NTG Table Bullet List3322222222222222222"/>
    <w:numStyleLink w:val="NTGTableList"/>
  </w:abstractNum>
  <w:abstractNum w:abstractNumId="39"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3"/>
  </w:num>
  <w:num w:numId="2">
    <w:abstractNumId w:val="25"/>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33"/>
  </w:num>
  <w:num w:numId="8">
    <w:abstractNumId w:val="39"/>
  </w:num>
  <w:num w:numId="9">
    <w:abstractNumId w:val="0"/>
  </w:num>
  <w:num w:numId="10">
    <w:abstractNumId w:val="17"/>
  </w:num>
  <w:num w:numId="11">
    <w:abstractNumId w:val="14"/>
  </w:num>
  <w:num w:numId="12">
    <w:abstractNumId w:val="19"/>
  </w:num>
  <w:num w:numId="13">
    <w:abstractNumId w:val="7"/>
  </w:num>
  <w:num w:numId="14">
    <w:abstractNumId w:val="15"/>
  </w:num>
  <w:num w:numId="15">
    <w:abstractNumId w:val="20"/>
  </w:num>
  <w:num w:numId="16">
    <w:abstractNumId w:val="16"/>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attachedTemplate r:id="rId1"/>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B09"/>
    <w:rsid w:val="00001DDF"/>
    <w:rsid w:val="0000322D"/>
    <w:rsid w:val="00010665"/>
    <w:rsid w:val="00027DB8"/>
    <w:rsid w:val="00031A96"/>
    <w:rsid w:val="00040BF3"/>
    <w:rsid w:val="00046C59"/>
    <w:rsid w:val="00051362"/>
    <w:rsid w:val="00051F45"/>
    <w:rsid w:val="00056DEF"/>
    <w:rsid w:val="000720BE"/>
    <w:rsid w:val="0007259C"/>
    <w:rsid w:val="00080202"/>
    <w:rsid w:val="00080DCD"/>
    <w:rsid w:val="00080E22"/>
    <w:rsid w:val="000840A3"/>
    <w:rsid w:val="00086A5F"/>
    <w:rsid w:val="000911EF"/>
    <w:rsid w:val="000962C5"/>
    <w:rsid w:val="000A559C"/>
    <w:rsid w:val="000B2CA1"/>
    <w:rsid w:val="000D1F29"/>
    <w:rsid w:val="000F2958"/>
    <w:rsid w:val="00104E7F"/>
    <w:rsid w:val="001137EC"/>
    <w:rsid w:val="001152F5"/>
    <w:rsid w:val="00117743"/>
    <w:rsid w:val="00117F5B"/>
    <w:rsid w:val="00132658"/>
    <w:rsid w:val="00150DC0"/>
    <w:rsid w:val="00156CD4"/>
    <w:rsid w:val="00164A3E"/>
    <w:rsid w:val="00181620"/>
    <w:rsid w:val="001957AD"/>
    <w:rsid w:val="001A2B7F"/>
    <w:rsid w:val="001A3AFD"/>
    <w:rsid w:val="001A496C"/>
    <w:rsid w:val="001B2B6C"/>
    <w:rsid w:val="001D01C4"/>
    <w:rsid w:val="001D52B0"/>
    <w:rsid w:val="001D7CA4"/>
    <w:rsid w:val="001E057F"/>
    <w:rsid w:val="001E14EB"/>
    <w:rsid w:val="001F59E6"/>
    <w:rsid w:val="00206936"/>
    <w:rsid w:val="00206C6F"/>
    <w:rsid w:val="00206FBD"/>
    <w:rsid w:val="00207746"/>
    <w:rsid w:val="00230031"/>
    <w:rsid w:val="00247343"/>
    <w:rsid w:val="00265C56"/>
    <w:rsid w:val="002716CD"/>
    <w:rsid w:val="00274D4B"/>
    <w:rsid w:val="002806F5"/>
    <w:rsid w:val="00281577"/>
    <w:rsid w:val="002926BC"/>
    <w:rsid w:val="00293A72"/>
    <w:rsid w:val="002A30C3"/>
    <w:rsid w:val="002A42B1"/>
    <w:rsid w:val="002A7712"/>
    <w:rsid w:val="002B38F7"/>
    <w:rsid w:val="002B5591"/>
    <w:rsid w:val="002C1FE9"/>
    <w:rsid w:val="002D3A57"/>
    <w:rsid w:val="002D7D05"/>
    <w:rsid w:val="002E20C8"/>
    <w:rsid w:val="002E4290"/>
    <w:rsid w:val="002E66A6"/>
    <w:rsid w:val="002F0DB1"/>
    <w:rsid w:val="002F2885"/>
    <w:rsid w:val="003037F9"/>
    <w:rsid w:val="0030583E"/>
    <w:rsid w:val="00307FE1"/>
    <w:rsid w:val="003258E6"/>
    <w:rsid w:val="00342283"/>
    <w:rsid w:val="00343A87"/>
    <w:rsid w:val="00347FB6"/>
    <w:rsid w:val="003504FD"/>
    <w:rsid w:val="00350881"/>
    <w:rsid w:val="00357D55"/>
    <w:rsid w:val="00363513"/>
    <w:rsid w:val="003657E5"/>
    <w:rsid w:val="0036589C"/>
    <w:rsid w:val="00371312"/>
    <w:rsid w:val="00371DC7"/>
    <w:rsid w:val="00377B21"/>
    <w:rsid w:val="00394876"/>
    <w:rsid w:val="00394AAF"/>
    <w:rsid w:val="00394CE5"/>
    <w:rsid w:val="003B67FD"/>
    <w:rsid w:val="003B6A61"/>
    <w:rsid w:val="003D42C0"/>
    <w:rsid w:val="003D5B29"/>
    <w:rsid w:val="003D7818"/>
    <w:rsid w:val="003E2445"/>
    <w:rsid w:val="003E3BB2"/>
    <w:rsid w:val="003F5B58"/>
    <w:rsid w:val="0040222A"/>
    <w:rsid w:val="004036FD"/>
    <w:rsid w:val="004047BC"/>
    <w:rsid w:val="00406B88"/>
    <w:rsid w:val="004100F7"/>
    <w:rsid w:val="00414CB3"/>
    <w:rsid w:val="0041563D"/>
    <w:rsid w:val="00426E25"/>
    <w:rsid w:val="00427D9C"/>
    <w:rsid w:val="00443B6E"/>
    <w:rsid w:val="0045420A"/>
    <w:rsid w:val="004554D4"/>
    <w:rsid w:val="00461744"/>
    <w:rsid w:val="00466D96"/>
    <w:rsid w:val="00467747"/>
    <w:rsid w:val="00473C98"/>
    <w:rsid w:val="00482DF8"/>
    <w:rsid w:val="004864DE"/>
    <w:rsid w:val="004867AE"/>
    <w:rsid w:val="00494BE5"/>
    <w:rsid w:val="004A2538"/>
    <w:rsid w:val="004B0C15"/>
    <w:rsid w:val="004B35EA"/>
    <w:rsid w:val="004B69E4"/>
    <w:rsid w:val="004C6C39"/>
    <w:rsid w:val="004D075F"/>
    <w:rsid w:val="004D1B76"/>
    <w:rsid w:val="004D344E"/>
    <w:rsid w:val="004E019E"/>
    <w:rsid w:val="004E06EC"/>
    <w:rsid w:val="004E2CB7"/>
    <w:rsid w:val="004F016A"/>
    <w:rsid w:val="00500F94"/>
    <w:rsid w:val="00502FB3"/>
    <w:rsid w:val="00503DE9"/>
    <w:rsid w:val="0050530C"/>
    <w:rsid w:val="00505DEA"/>
    <w:rsid w:val="00507782"/>
    <w:rsid w:val="00512A04"/>
    <w:rsid w:val="005249F5"/>
    <w:rsid w:val="005260F7"/>
    <w:rsid w:val="00543BD1"/>
    <w:rsid w:val="00556113"/>
    <w:rsid w:val="00564C12"/>
    <w:rsid w:val="005654B8"/>
    <w:rsid w:val="005762CC"/>
    <w:rsid w:val="00582D3D"/>
    <w:rsid w:val="005848DF"/>
    <w:rsid w:val="00595386"/>
    <w:rsid w:val="005A4AC0"/>
    <w:rsid w:val="005A5FDF"/>
    <w:rsid w:val="005B0FB7"/>
    <w:rsid w:val="005B122A"/>
    <w:rsid w:val="005B5AC2"/>
    <w:rsid w:val="005C2833"/>
    <w:rsid w:val="005E144D"/>
    <w:rsid w:val="005E1500"/>
    <w:rsid w:val="005E3A43"/>
    <w:rsid w:val="005E433F"/>
    <w:rsid w:val="005F1C43"/>
    <w:rsid w:val="00620675"/>
    <w:rsid w:val="006433C3"/>
    <w:rsid w:val="00650F5B"/>
    <w:rsid w:val="006670D7"/>
    <w:rsid w:val="006719EA"/>
    <w:rsid w:val="00671F13"/>
    <w:rsid w:val="0067400A"/>
    <w:rsid w:val="006847AD"/>
    <w:rsid w:val="0069114B"/>
    <w:rsid w:val="006C5353"/>
    <w:rsid w:val="006D2AF2"/>
    <w:rsid w:val="006D66F7"/>
    <w:rsid w:val="006E1B09"/>
    <w:rsid w:val="00705C9D"/>
    <w:rsid w:val="00705F13"/>
    <w:rsid w:val="00714F1D"/>
    <w:rsid w:val="00722DDB"/>
    <w:rsid w:val="00724728"/>
    <w:rsid w:val="00724F98"/>
    <w:rsid w:val="00730B9B"/>
    <w:rsid w:val="007332FF"/>
    <w:rsid w:val="007408F5"/>
    <w:rsid w:val="00741EAE"/>
    <w:rsid w:val="007618BF"/>
    <w:rsid w:val="0076190B"/>
    <w:rsid w:val="0076355D"/>
    <w:rsid w:val="00763A2D"/>
    <w:rsid w:val="00777795"/>
    <w:rsid w:val="00783A57"/>
    <w:rsid w:val="00784C92"/>
    <w:rsid w:val="007859CD"/>
    <w:rsid w:val="007907E4"/>
    <w:rsid w:val="00796461"/>
    <w:rsid w:val="007A6A4F"/>
    <w:rsid w:val="007B03F5"/>
    <w:rsid w:val="007B5C09"/>
    <w:rsid w:val="007B5DA2"/>
    <w:rsid w:val="007C0966"/>
    <w:rsid w:val="007C0FE3"/>
    <w:rsid w:val="007C19E7"/>
    <w:rsid w:val="007C5CFD"/>
    <w:rsid w:val="007C6D9F"/>
    <w:rsid w:val="007D4893"/>
    <w:rsid w:val="007E70CF"/>
    <w:rsid w:val="007E74A4"/>
    <w:rsid w:val="007F263F"/>
    <w:rsid w:val="0080766E"/>
    <w:rsid w:val="00811169"/>
    <w:rsid w:val="00815297"/>
    <w:rsid w:val="00817BA1"/>
    <w:rsid w:val="00823022"/>
    <w:rsid w:val="0082634E"/>
    <w:rsid w:val="008313C4"/>
    <w:rsid w:val="00835434"/>
    <w:rsid w:val="008358C0"/>
    <w:rsid w:val="00842838"/>
    <w:rsid w:val="0084460F"/>
    <w:rsid w:val="00854EC1"/>
    <w:rsid w:val="0085797F"/>
    <w:rsid w:val="00861DC3"/>
    <w:rsid w:val="00867019"/>
    <w:rsid w:val="008735A9"/>
    <w:rsid w:val="00877D20"/>
    <w:rsid w:val="00881C48"/>
    <w:rsid w:val="00885B80"/>
    <w:rsid w:val="00885C30"/>
    <w:rsid w:val="00885E9B"/>
    <w:rsid w:val="00893C96"/>
    <w:rsid w:val="008A7C12"/>
    <w:rsid w:val="008B529E"/>
    <w:rsid w:val="008C17FB"/>
    <w:rsid w:val="008D57B8"/>
    <w:rsid w:val="008E03FC"/>
    <w:rsid w:val="008E510B"/>
    <w:rsid w:val="00902B13"/>
    <w:rsid w:val="00911941"/>
    <w:rsid w:val="00925F0F"/>
    <w:rsid w:val="00932F6B"/>
    <w:rsid w:val="009468BC"/>
    <w:rsid w:val="009616DF"/>
    <w:rsid w:val="0096542F"/>
    <w:rsid w:val="00967FA7"/>
    <w:rsid w:val="00971645"/>
    <w:rsid w:val="00977919"/>
    <w:rsid w:val="009870FA"/>
    <w:rsid w:val="0099551D"/>
    <w:rsid w:val="009A152D"/>
    <w:rsid w:val="009A5897"/>
    <w:rsid w:val="009A5F24"/>
    <w:rsid w:val="009A760C"/>
    <w:rsid w:val="009B0B3E"/>
    <w:rsid w:val="009B1913"/>
    <w:rsid w:val="009B6657"/>
    <w:rsid w:val="009D0EB5"/>
    <w:rsid w:val="009D14F9"/>
    <w:rsid w:val="009D2B74"/>
    <w:rsid w:val="009E175D"/>
    <w:rsid w:val="009E3CC2"/>
    <w:rsid w:val="009F06BD"/>
    <w:rsid w:val="009F2A4D"/>
    <w:rsid w:val="00A00828"/>
    <w:rsid w:val="00A03290"/>
    <w:rsid w:val="00A07490"/>
    <w:rsid w:val="00A10655"/>
    <w:rsid w:val="00A22C38"/>
    <w:rsid w:val="00A25193"/>
    <w:rsid w:val="00A30985"/>
    <w:rsid w:val="00A31AE8"/>
    <w:rsid w:val="00A3739D"/>
    <w:rsid w:val="00A37DDA"/>
    <w:rsid w:val="00A925EC"/>
    <w:rsid w:val="00A929AA"/>
    <w:rsid w:val="00A92B6B"/>
    <w:rsid w:val="00AA541E"/>
    <w:rsid w:val="00AD0DA4"/>
    <w:rsid w:val="00AD39D2"/>
    <w:rsid w:val="00AD4169"/>
    <w:rsid w:val="00AE25C6"/>
    <w:rsid w:val="00AE306C"/>
    <w:rsid w:val="00B02EF1"/>
    <w:rsid w:val="00B07C97"/>
    <w:rsid w:val="00B15754"/>
    <w:rsid w:val="00B2046E"/>
    <w:rsid w:val="00B20E8B"/>
    <w:rsid w:val="00B257E1"/>
    <w:rsid w:val="00B343CC"/>
    <w:rsid w:val="00B5084A"/>
    <w:rsid w:val="00B614F7"/>
    <w:rsid w:val="00B61B26"/>
    <w:rsid w:val="00B675B2"/>
    <w:rsid w:val="00B81261"/>
    <w:rsid w:val="00B8223E"/>
    <w:rsid w:val="00B832AE"/>
    <w:rsid w:val="00B86678"/>
    <w:rsid w:val="00B92F9B"/>
    <w:rsid w:val="00B941B3"/>
    <w:rsid w:val="00B96513"/>
    <w:rsid w:val="00BA1D47"/>
    <w:rsid w:val="00BA66F0"/>
    <w:rsid w:val="00BB2239"/>
    <w:rsid w:val="00BB2AE7"/>
    <w:rsid w:val="00BB6464"/>
    <w:rsid w:val="00BC1BB8"/>
    <w:rsid w:val="00BD7FE1"/>
    <w:rsid w:val="00BE37CA"/>
    <w:rsid w:val="00BE6144"/>
    <w:rsid w:val="00BE635A"/>
    <w:rsid w:val="00BF2ABB"/>
    <w:rsid w:val="00BF5099"/>
    <w:rsid w:val="00C10F10"/>
    <w:rsid w:val="00C15D4D"/>
    <w:rsid w:val="00C175DC"/>
    <w:rsid w:val="00C30171"/>
    <w:rsid w:val="00C309D8"/>
    <w:rsid w:val="00C40DE7"/>
    <w:rsid w:val="00C61AFA"/>
    <w:rsid w:val="00C62099"/>
    <w:rsid w:val="00C64EA3"/>
    <w:rsid w:val="00C72867"/>
    <w:rsid w:val="00C75E81"/>
    <w:rsid w:val="00C86609"/>
    <w:rsid w:val="00C92B4C"/>
    <w:rsid w:val="00C954F6"/>
    <w:rsid w:val="00CA6BC5"/>
    <w:rsid w:val="00CB2B17"/>
    <w:rsid w:val="00CC61CD"/>
    <w:rsid w:val="00CD5011"/>
    <w:rsid w:val="00CE640F"/>
    <w:rsid w:val="00CF540E"/>
    <w:rsid w:val="00D02F07"/>
    <w:rsid w:val="00D36A49"/>
    <w:rsid w:val="00D44661"/>
    <w:rsid w:val="00D517C6"/>
    <w:rsid w:val="00D71D84"/>
    <w:rsid w:val="00D72464"/>
    <w:rsid w:val="00D768EB"/>
    <w:rsid w:val="00D82D1E"/>
    <w:rsid w:val="00D832D9"/>
    <w:rsid w:val="00D90F00"/>
    <w:rsid w:val="00D975C0"/>
    <w:rsid w:val="00DA5285"/>
    <w:rsid w:val="00DB191D"/>
    <w:rsid w:val="00DB4F91"/>
    <w:rsid w:val="00DC3117"/>
    <w:rsid w:val="00DC5DD9"/>
    <w:rsid w:val="00DC6D2D"/>
    <w:rsid w:val="00DE33B5"/>
    <w:rsid w:val="00DE5E18"/>
    <w:rsid w:val="00DF0487"/>
    <w:rsid w:val="00DF5EA4"/>
    <w:rsid w:val="00E02681"/>
    <w:rsid w:val="00E02792"/>
    <w:rsid w:val="00E034D8"/>
    <w:rsid w:val="00E04CC0"/>
    <w:rsid w:val="00E05157"/>
    <w:rsid w:val="00E121B9"/>
    <w:rsid w:val="00E15816"/>
    <w:rsid w:val="00E160D5"/>
    <w:rsid w:val="00E30556"/>
    <w:rsid w:val="00E30981"/>
    <w:rsid w:val="00E33136"/>
    <w:rsid w:val="00E34D7C"/>
    <w:rsid w:val="00E3723D"/>
    <w:rsid w:val="00E44C89"/>
    <w:rsid w:val="00E61BA2"/>
    <w:rsid w:val="00E6403F"/>
    <w:rsid w:val="00E84C5A"/>
    <w:rsid w:val="00E861DB"/>
    <w:rsid w:val="00E93406"/>
    <w:rsid w:val="00E956C5"/>
    <w:rsid w:val="00E95C39"/>
    <w:rsid w:val="00EA2C39"/>
    <w:rsid w:val="00EB0A96"/>
    <w:rsid w:val="00EB77F9"/>
    <w:rsid w:val="00EC5769"/>
    <w:rsid w:val="00EC5A8F"/>
    <w:rsid w:val="00EC7D00"/>
    <w:rsid w:val="00ED0304"/>
    <w:rsid w:val="00EE38FA"/>
    <w:rsid w:val="00EE3E2C"/>
    <w:rsid w:val="00EE5D23"/>
    <w:rsid w:val="00EF3CA4"/>
    <w:rsid w:val="00F014DA"/>
    <w:rsid w:val="00F46A05"/>
    <w:rsid w:val="00F60EFF"/>
    <w:rsid w:val="00F94398"/>
    <w:rsid w:val="00FB2B56"/>
    <w:rsid w:val="00FC12BF"/>
    <w:rsid w:val="00FD3E6F"/>
    <w:rsid w:val="00FD51B9"/>
    <w:rsid w:val="00FE2A3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F74A40D5-CAC0-4977-B97C-298BA90F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EA4"/>
  </w:style>
  <w:style w:type="paragraph" w:styleId="Heading1">
    <w:name w:val="heading 1"/>
    <w:basedOn w:val="Normal"/>
    <w:next w:val="Normal"/>
    <w:link w:val="Heading1Char"/>
    <w:uiPriority w:val="1"/>
    <w:qFormat/>
    <w:rsid w:val="009A5F24"/>
    <w:pPr>
      <w:keepNext/>
      <w:keepLines/>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A5F24"/>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9A5F24"/>
    <w:pPr>
      <w:keepNext/>
      <w:keepLines/>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A5F24"/>
    <w:pPr>
      <w:keepNext/>
      <w:keepLines/>
      <w:outlineLvl w:val="4"/>
    </w:pPr>
    <w:rPr>
      <w:b/>
      <w:color w:val="000000" w:themeColor="text1"/>
    </w:rPr>
  </w:style>
  <w:style w:type="paragraph" w:styleId="Heading6">
    <w:name w:val="heading 6"/>
    <w:basedOn w:val="Normal"/>
    <w:next w:val="Normal"/>
    <w:link w:val="Heading6Char"/>
    <w:uiPriority w:val="9"/>
    <w:rsid w:val="009A5F24"/>
    <w:pPr>
      <w:keepNext/>
      <w:keepLines/>
      <w:outlineLvl w:val="5"/>
    </w:pPr>
    <w:rPr>
      <w:b/>
      <w:color w:val="606060"/>
    </w:rPr>
  </w:style>
  <w:style w:type="paragraph" w:styleId="Heading7">
    <w:name w:val="heading 7"/>
    <w:basedOn w:val="Normal"/>
    <w:next w:val="Normal"/>
    <w:link w:val="Heading7Char"/>
    <w:uiPriority w:val="9"/>
    <w:rsid w:val="009A5F24"/>
    <w:pPr>
      <w:keepNext/>
      <w:keepLines/>
      <w:outlineLvl w:val="6"/>
    </w:pPr>
    <w:rPr>
      <w:b/>
      <w:color w:val="000000" w:themeColor="text1"/>
    </w:rPr>
  </w:style>
  <w:style w:type="paragraph" w:styleId="Heading8">
    <w:name w:val="heading 8"/>
    <w:basedOn w:val="Normal"/>
    <w:next w:val="Normal"/>
    <w:link w:val="Heading8Char"/>
    <w:uiPriority w:val="9"/>
    <w:rsid w:val="009A5F24"/>
    <w:pPr>
      <w:keepNext/>
      <w:keepLines/>
      <w:outlineLvl w:val="7"/>
    </w:pPr>
    <w:rPr>
      <w:b/>
      <w:color w:val="606060"/>
    </w:rPr>
  </w:style>
  <w:style w:type="paragraph" w:styleId="Heading9">
    <w:name w:val="heading 9"/>
    <w:basedOn w:val="Normal"/>
    <w:next w:val="Normal"/>
    <w:link w:val="Heading9Char"/>
    <w:uiPriority w:val="9"/>
    <w:rsid w:val="009A5F24"/>
    <w:pPr>
      <w:keepNext/>
      <w:keepLines/>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customStyle="1" w:styleId="NTGTable">
    <w:name w:val="NTG Table"/>
    <w:basedOn w:val="TableGrid"/>
    <w:uiPriority w:val="99"/>
    <w:rsid w:val="0099551D"/>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uiPriority w:val="99"/>
    <w:qFormat/>
    <w:rsid w:val="00A22C38"/>
    <w:pPr>
      <w:numPr>
        <w:numId w:val="11"/>
      </w:numPr>
      <w:spacing w:after="120"/>
    </w:pPr>
  </w:style>
  <w:style w:type="paragraph" w:styleId="ListNumber2">
    <w:name w:val="List Number 2"/>
    <w:basedOn w:val="Normal"/>
    <w:uiPriority w:val="99"/>
    <w:rsid w:val="00A22C38"/>
    <w:pPr>
      <w:numPr>
        <w:ilvl w:val="1"/>
        <w:numId w:val="11"/>
      </w:numPr>
      <w:spacing w:after="120"/>
    </w:pPr>
  </w:style>
  <w:style w:type="paragraph" w:styleId="ListNumber3">
    <w:name w:val="List Number 3"/>
    <w:basedOn w:val="Normal"/>
    <w:uiPriority w:val="99"/>
    <w:rsid w:val="00A22C38"/>
    <w:pPr>
      <w:numPr>
        <w:ilvl w:val="2"/>
        <w:numId w:val="11"/>
      </w:numPr>
      <w:spacing w:after="120"/>
    </w:pPr>
  </w:style>
  <w:style w:type="paragraph" w:styleId="ListNumber4">
    <w:name w:val="List Number 4"/>
    <w:basedOn w:val="Normal"/>
    <w:uiPriority w:val="99"/>
    <w:rsid w:val="00A22C38"/>
    <w:pPr>
      <w:numPr>
        <w:ilvl w:val="3"/>
        <w:numId w:val="11"/>
      </w:numPr>
      <w:spacing w:after="120"/>
    </w:pPr>
  </w:style>
  <w:style w:type="paragraph" w:styleId="ListNumber5">
    <w:name w:val="List Number 5"/>
    <w:basedOn w:val="Normal"/>
    <w:uiPriority w:val="99"/>
    <w:rsid w:val="00A22C38"/>
    <w:pPr>
      <w:numPr>
        <w:ilvl w:val="4"/>
        <w:numId w:val="11"/>
      </w:numPr>
      <w:spacing w:after="120"/>
    </w:pPr>
  </w:style>
  <w:style w:type="paragraph" w:styleId="ListBullet">
    <w:name w:val="List Bullet"/>
    <w:basedOn w:val="Normal"/>
    <w:uiPriority w:val="99"/>
    <w:rsid w:val="003B6A61"/>
    <w:pPr>
      <w:numPr>
        <w:numId w:val="13"/>
      </w:numPr>
      <w:spacing w:after="120"/>
    </w:pPr>
  </w:style>
  <w:style w:type="paragraph" w:styleId="ListBullet2">
    <w:name w:val="List Bullet 2"/>
    <w:basedOn w:val="Normal"/>
    <w:uiPriority w:val="99"/>
    <w:rsid w:val="006847AD"/>
    <w:pPr>
      <w:numPr>
        <w:ilvl w:val="1"/>
        <w:numId w:val="13"/>
      </w:numPr>
      <w:spacing w:after="120"/>
    </w:pPr>
  </w:style>
  <w:style w:type="paragraph" w:styleId="ListBullet3">
    <w:name w:val="List Bullet 3"/>
    <w:basedOn w:val="Normal"/>
    <w:uiPriority w:val="99"/>
    <w:rsid w:val="006847AD"/>
    <w:pPr>
      <w:numPr>
        <w:ilvl w:val="2"/>
        <w:numId w:val="13"/>
      </w:numPr>
      <w:spacing w:after="120"/>
    </w:pPr>
  </w:style>
  <w:style w:type="paragraph" w:styleId="ListBullet4">
    <w:name w:val="List Bullet 4"/>
    <w:basedOn w:val="Normal"/>
    <w:uiPriority w:val="99"/>
    <w:rsid w:val="006847AD"/>
    <w:pPr>
      <w:numPr>
        <w:ilvl w:val="3"/>
        <w:numId w:val="13"/>
      </w:numPr>
      <w:spacing w:after="120"/>
    </w:pPr>
  </w:style>
  <w:style w:type="paragraph" w:styleId="ListBullet5">
    <w:name w:val="List Bullet 5"/>
    <w:basedOn w:val="Normal"/>
    <w:uiPriority w:val="99"/>
    <w:rsid w:val="004E2CB7"/>
    <w:pPr>
      <w:numPr>
        <w:ilvl w:val="4"/>
        <w:numId w:val="13"/>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14"/>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9"/>
      </w:numPr>
    </w:pPr>
  </w:style>
  <w:style w:type="paragraph" w:customStyle="1" w:styleId="NTGTableNumList1">
    <w:name w:val="NTG Table Num List 1"/>
    <w:semiHidden/>
    <w:qFormat/>
    <w:rsid w:val="002716CD"/>
    <w:pPr>
      <w:numPr>
        <w:numId w:val="12"/>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10"/>
      </w:numPr>
    </w:pPr>
  </w:style>
  <w:style w:type="paragraph" w:customStyle="1" w:styleId="Default">
    <w:name w:val="Default"/>
    <w:rsid w:val="006C5353"/>
    <w:pPr>
      <w:autoSpaceDE w:val="0"/>
      <w:autoSpaceDN w:val="0"/>
      <w:adjustRightInd w:val="0"/>
      <w:spacing w:after="0"/>
    </w:pPr>
    <w:rPr>
      <w:rFonts w:eastAsiaTheme="minorHAnsi" w:cs="Arial"/>
      <w:color w:val="000000"/>
      <w:sz w:val="24"/>
      <w:szCs w:val="24"/>
    </w:rPr>
  </w:style>
  <w:style w:type="character" w:styleId="Strong">
    <w:name w:val="Strong"/>
    <w:basedOn w:val="DefaultParagraphFont"/>
    <w:uiPriority w:val="22"/>
    <w:qFormat/>
    <w:rsid w:val="006C5353"/>
    <w:rPr>
      <w:b/>
      <w:bCs/>
    </w:rPr>
  </w:style>
  <w:style w:type="paragraph" w:styleId="BalloonText">
    <w:name w:val="Balloon Text"/>
    <w:basedOn w:val="Normal"/>
    <w:link w:val="BalloonTextChar"/>
    <w:uiPriority w:val="99"/>
    <w:semiHidden/>
    <w:unhideWhenUsed/>
    <w:rsid w:val="005F1C4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C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phi\AppData\Local\Temp\Temp8_blank-word-portrait-template_15.zip\blank-word-portrait-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0B9F8-BEB3-486A-A46D-721E9E20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blank-word-portrait-template.dotm</Template>
  <TotalTime>155</TotalTime>
  <Pages>3</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AASB 124 Related Party Disclosures</vt:lpstr>
    </vt:vector>
  </TitlesOfParts>
  <Company>Northern Territory Government</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AASB 124 Related Party Disclosures</dc:title>
  <dc:subject/>
  <dc:creator>Shona Needham</dc:creator>
  <cp:keywords/>
  <dc:description/>
  <cp:lastModifiedBy>Barbara Beamsley</cp:lastModifiedBy>
  <cp:revision>43</cp:revision>
  <cp:lastPrinted>2017-07-17T03:00:00Z</cp:lastPrinted>
  <dcterms:created xsi:type="dcterms:W3CDTF">2017-07-14T02:29:00Z</dcterms:created>
  <dcterms:modified xsi:type="dcterms:W3CDTF">2017-08-04T02:01:00Z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
  </property>
  <property fmtid="{D5CDD505-2E9C-101B-9397-08002B2CF9AE}" pid="6" name="DocumentDate">
    <vt:lpwstr>3 August 2017</vt:lpwstr>
  </property>
</Properties>
</file>